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6CB51" w14:textId="163C9C22" w:rsidR="0090077B" w:rsidRPr="00E55E9C" w:rsidRDefault="008F0268" w:rsidP="00E55E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55E9C">
        <w:rPr>
          <w:rFonts w:ascii="Arial" w:hAnsi="Arial" w:cs="Arial"/>
          <w:b/>
          <w:bCs/>
          <w:sz w:val="24"/>
          <w:szCs w:val="24"/>
        </w:rPr>
        <w:t>Important information for Primary Care</w:t>
      </w:r>
      <w:r w:rsidR="0090077B" w:rsidRPr="00E55E9C">
        <w:rPr>
          <w:rFonts w:ascii="Arial" w:hAnsi="Arial" w:cs="Arial"/>
          <w:b/>
          <w:bCs/>
          <w:sz w:val="24"/>
          <w:szCs w:val="24"/>
        </w:rPr>
        <w:t xml:space="preserve"> on Gender Dysphoria pathways and prescribing for Children and Young People</w:t>
      </w:r>
    </w:p>
    <w:p w14:paraId="64F66735" w14:textId="77777777" w:rsidR="00E80ED0" w:rsidRDefault="00E80ED0" w:rsidP="00E80ED0">
      <w:pPr>
        <w:spacing w:after="0" w:line="240" w:lineRule="auto"/>
        <w:jc w:val="both"/>
        <w:rPr>
          <w:rFonts w:ascii="Arial" w:hAnsi="Arial" w:cs="Arial"/>
        </w:rPr>
      </w:pPr>
    </w:p>
    <w:p w14:paraId="1DE28223" w14:textId="2D5FD96A" w:rsidR="009F283A" w:rsidRDefault="00CC3591" w:rsidP="00E80ED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24</w:t>
      </w:r>
      <w:r w:rsidRPr="00CC359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F283A" w:rsidRPr="00BD43FB">
        <w:rPr>
          <w:rFonts w:ascii="Arial" w:hAnsi="Arial" w:cs="Arial"/>
        </w:rPr>
        <w:t>July 2024</w:t>
      </w:r>
    </w:p>
    <w:p w14:paraId="108FA4E7" w14:textId="77777777" w:rsidR="00E80ED0" w:rsidRPr="00BD43FB" w:rsidRDefault="00E80ED0" w:rsidP="00E80ED0">
      <w:pPr>
        <w:spacing w:after="0" w:line="240" w:lineRule="auto"/>
        <w:jc w:val="both"/>
        <w:rPr>
          <w:rFonts w:ascii="Arial" w:hAnsi="Arial" w:cs="Arial"/>
        </w:rPr>
      </w:pPr>
    </w:p>
    <w:p w14:paraId="7BE0AD9A" w14:textId="77777777" w:rsidR="0065020A" w:rsidRDefault="0065020A" w:rsidP="00E80ED0">
      <w:pPr>
        <w:spacing w:after="0" w:line="240" w:lineRule="auto"/>
        <w:jc w:val="both"/>
        <w:rPr>
          <w:rFonts w:ascii="Arial" w:hAnsi="Arial" w:cs="Arial"/>
          <w:b/>
          <w:bCs/>
          <w:spacing w:val="15"/>
          <w:sz w:val="24"/>
          <w:szCs w:val="24"/>
          <w:shd w:val="clear" w:color="auto" w:fill="FFFFFF"/>
        </w:rPr>
      </w:pPr>
    </w:p>
    <w:p w14:paraId="727D63F2" w14:textId="7F8DBEE1" w:rsidR="00FC57B5" w:rsidRPr="00282191" w:rsidRDefault="00FC57B5" w:rsidP="00E80ED0">
      <w:pPr>
        <w:spacing w:after="0" w:line="240" w:lineRule="auto"/>
        <w:jc w:val="both"/>
        <w:rPr>
          <w:rFonts w:ascii="Arial" w:hAnsi="Arial" w:cs="Arial"/>
          <w:spacing w:val="15"/>
          <w:sz w:val="24"/>
          <w:szCs w:val="24"/>
          <w:shd w:val="clear" w:color="auto" w:fill="FFFFFF"/>
        </w:rPr>
      </w:pPr>
      <w:r w:rsidRPr="00282191">
        <w:rPr>
          <w:rFonts w:ascii="Arial" w:hAnsi="Arial" w:cs="Arial"/>
          <w:b/>
          <w:bCs/>
          <w:spacing w:val="15"/>
          <w:sz w:val="24"/>
          <w:szCs w:val="24"/>
          <w:shd w:val="clear" w:color="auto" w:fill="FFFFFF"/>
        </w:rPr>
        <w:t>Background</w:t>
      </w:r>
    </w:p>
    <w:p w14:paraId="285BB590" w14:textId="77777777" w:rsidR="00E55E9C" w:rsidRPr="00E55E9C" w:rsidRDefault="00E55E9C" w:rsidP="00E80ED0">
      <w:pPr>
        <w:spacing w:after="0" w:line="240" w:lineRule="auto"/>
        <w:jc w:val="both"/>
        <w:rPr>
          <w:rFonts w:ascii="Arial" w:hAnsi="Arial" w:cs="Arial"/>
          <w:spacing w:val="15"/>
          <w:shd w:val="clear" w:color="auto" w:fill="FFFFFF"/>
        </w:rPr>
      </w:pPr>
    </w:p>
    <w:p w14:paraId="4D3B7614" w14:textId="62BD00BC" w:rsidR="00DE1E69" w:rsidRDefault="0090077B" w:rsidP="00E80ED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BD43FB">
        <w:rPr>
          <w:rFonts w:ascii="Arial" w:hAnsi="Arial" w:cs="Arial"/>
          <w:shd w:val="clear" w:color="auto" w:fill="FFFFFF"/>
        </w:rPr>
        <w:t xml:space="preserve">Over the last 3 years there has been a 500% increase in referrals to GIDS (Gender Identity Development Services) leading to increasing waits and patients seeking treatment by non-commissioned or unregulated providers. This, combined with the independent national review of gender development </w:t>
      </w:r>
      <w:r w:rsidR="008A64BD" w:rsidRPr="00BD43FB">
        <w:rPr>
          <w:rFonts w:ascii="Arial" w:hAnsi="Arial" w:cs="Arial"/>
          <w:shd w:val="clear" w:color="auto" w:fill="FFFFFF"/>
        </w:rPr>
        <w:t>services for</w:t>
      </w:r>
      <w:r w:rsidRPr="00BD43FB">
        <w:rPr>
          <w:rFonts w:ascii="Arial" w:hAnsi="Arial" w:cs="Arial"/>
          <w:shd w:val="clear" w:color="auto" w:fill="FFFFFF"/>
        </w:rPr>
        <w:t xml:space="preserve"> children and young people</w:t>
      </w:r>
      <w:r w:rsidR="008A64BD" w:rsidRPr="00BD43FB">
        <w:rPr>
          <w:rFonts w:ascii="Arial" w:hAnsi="Arial" w:cs="Arial"/>
          <w:shd w:val="clear" w:color="auto" w:fill="FFFFFF"/>
        </w:rPr>
        <w:t>-</w:t>
      </w:r>
      <w:r w:rsidRPr="00BD43FB">
        <w:rPr>
          <w:rFonts w:ascii="Arial" w:hAnsi="Arial" w:cs="Arial"/>
          <w:shd w:val="clear" w:color="auto" w:fill="FFFFFF"/>
        </w:rPr>
        <w:t>the Cass Review</w:t>
      </w:r>
      <w:r w:rsidR="008A64BD" w:rsidRPr="00BD43FB">
        <w:rPr>
          <w:rFonts w:ascii="Arial" w:hAnsi="Arial" w:cs="Arial"/>
          <w:shd w:val="clear" w:color="auto" w:fill="FFFFFF"/>
        </w:rPr>
        <w:t>,</w:t>
      </w:r>
      <w:r w:rsidRPr="00BD43FB">
        <w:rPr>
          <w:rFonts w:ascii="Arial" w:hAnsi="Arial" w:cs="Arial"/>
          <w:shd w:val="clear" w:color="auto" w:fill="FFFFFF"/>
        </w:rPr>
        <w:t xml:space="preserve"> has led to change</w:t>
      </w:r>
      <w:r w:rsidR="008A64BD" w:rsidRPr="00BD43FB">
        <w:rPr>
          <w:rFonts w:ascii="Arial" w:hAnsi="Arial" w:cs="Arial"/>
          <w:shd w:val="clear" w:color="auto" w:fill="FFFFFF"/>
        </w:rPr>
        <w:t>s</w:t>
      </w:r>
      <w:r w:rsidRPr="00BD43FB">
        <w:rPr>
          <w:rFonts w:ascii="Arial" w:hAnsi="Arial" w:cs="Arial"/>
          <w:shd w:val="clear" w:color="auto" w:fill="FFFFFF"/>
        </w:rPr>
        <w:t xml:space="preserve"> to national policy and service transformation</w:t>
      </w:r>
      <w:r w:rsidR="008A64BD" w:rsidRPr="00BD43FB">
        <w:rPr>
          <w:rFonts w:ascii="Arial" w:hAnsi="Arial" w:cs="Arial"/>
          <w:shd w:val="clear" w:color="auto" w:fill="FFFFFF"/>
        </w:rPr>
        <w:t xml:space="preserve"> which will </w:t>
      </w:r>
      <w:r w:rsidR="00F24C38" w:rsidRPr="00BD43FB">
        <w:rPr>
          <w:rFonts w:ascii="Arial" w:hAnsi="Arial" w:cs="Arial"/>
          <w:shd w:val="clear" w:color="auto" w:fill="FFFFFF"/>
        </w:rPr>
        <w:t>affect</w:t>
      </w:r>
      <w:r w:rsidR="008A64BD" w:rsidRPr="00BD43FB">
        <w:rPr>
          <w:rFonts w:ascii="Arial" w:hAnsi="Arial" w:cs="Arial"/>
          <w:shd w:val="clear" w:color="auto" w:fill="FFFFFF"/>
        </w:rPr>
        <w:t xml:space="preserve"> children and young people </w:t>
      </w:r>
      <w:r w:rsidR="00830D81">
        <w:rPr>
          <w:rFonts w:ascii="Arial" w:hAnsi="Arial" w:cs="Arial"/>
          <w:shd w:val="clear" w:color="auto" w:fill="FFFFFF"/>
        </w:rPr>
        <w:t xml:space="preserve">(CYP) </w:t>
      </w:r>
      <w:r w:rsidR="008A64BD" w:rsidRPr="00BD43FB">
        <w:rPr>
          <w:rFonts w:ascii="Arial" w:hAnsi="Arial" w:cs="Arial"/>
          <w:shd w:val="clear" w:color="auto" w:fill="FFFFFF"/>
        </w:rPr>
        <w:t>in Hampshire and Isle of Wight.</w:t>
      </w:r>
    </w:p>
    <w:p w14:paraId="2CCAE20A" w14:textId="77777777" w:rsidR="00E80ED0" w:rsidRDefault="00E80ED0" w:rsidP="00E80ED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C0E2910" w14:textId="77777777" w:rsidR="00E55E9C" w:rsidRPr="00E55E9C" w:rsidRDefault="00E55E9C" w:rsidP="00E55E9C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55E9C">
        <w:rPr>
          <w:rFonts w:ascii="Arial" w:eastAsia="Calibri" w:hAnsi="Arial" w:cs="Arial"/>
          <w:b/>
          <w:bCs/>
          <w:sz w:val="24"/>
          <w:szCs w:val="24"/>
        </w:rPr>
        <w:t>Service Provision</w:t>
      </w:r>
    </w:p>
    <w:p w14:paraId="4A045FE9" w14:textId="77777777" w:rsidR="00E55E9C" w:rsidRPr="00E55E9C" w:rsidRDefault="00E55E9C" w:rsidP="00E55E9C">
      <w:pPr>
        <w:spacing w:after="0" w:line="240" w:lineRule="auto"/>
        <w:jc w:val="both"/>
        <w:rPr>
          <w:rStyle w:val="Strong"/>
          <w:rFonts w:ascii="Arial" w:hAnsi="Arial" w:cs="Arial"/>
          <w:b w:val="0"/>
          <w:bCs w:val="0"/>
          <w:spacing w:val="15"/>
          <w:sz w:val="24"/>
          <w:szCs w:val="24"/>
          <w:shd w:val="clear" w:color="auto" w:fill="FFFFFF"/>
        </w:rPr>
      </w:pPr>
    </w:p>
    <w:p w14:paraId="3378FE9D" w14:textId="2387F774" w:rsidR="00A44B45" w:rsidRPr="00BD43FB" w:rsidRDefault="00A44B45" w:rsidP="00E55E9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D43FB">
        <w:rPr>
          <w:rFonts w:ascii="Arial" w:hAnsi="Arial" w:cs="Arial"/>
          <w:b/>
          <w:bCs/>
        </w:rPr>
        <w:t>Patients currently on a waiting list</w:t>
      </w:r>
    </w:p>
    <w:p w14:paraId="2D4FE31A" w14:textId="77777777" w:rsidR="004A50C3" w:rsidRDefault="004A50C3" w:rsidP="00E80ED0">
      <w:pPr>
        <w:spacing w:after="0" w:line="240" w:lineRule="auto"/>
        <w:jc w:val="both"/>
        <w:rPr>
          <w:rFonts w:ascii="Arial" w:hAnsi="Arial" w:cs="Arial"/>
        </w:rPr>
      </w:pPr>
    </w:p>
    <w:p w14:paraId="70F83034" w14:textId="6C579B03" w:rsidR="00DE1E69" w:rsidRDefault="00FC57B5" w:rsidP="00E80ED0">
      <w:pPr>
        <w:spacing w:after="0" w:line="240" w:lineRule="auto"/>
        <w:jc w:val="both"/>
        <w:rPr>
          <w:rFonts w:ascii="Arial" w:hAnsi="Arial" w:cs="Arial"/>
        </w:rPr>
      </w:pPr>
      <w:r w:rsidRPr="00BD43FB">
        <w:rPr>
          <w:rFonts w:ascii="Arial" w:hAnsi="Arial" w:cs="Arial"/>
        </w:rPr>
        <w:t xml:space="preserve">On </w:t>
      </w:r>
      <w:r w:rsidR="00E55E9C" w:rsidRPr="00BD43FB">
        <w:rPr>
          <w:rFonts w:ascii="Arial" w:hAnsi="Arial" w:cs="Arial"/>
        </w:rPr>
        <w:t>1 April 2024,</w:t>
      </w:r>
      <w:r w:rsidRPr="00BD43FB">
        <w:rPr>
          <w:rFonts w:ascii="Arial" w:hAnsi="Arial" w:cs="Arial"/>
        </w:rPr>
        <w:t xml:space="preserve"> the new Gender</w:t>
      </w:r>
      <w:r w:rsidR="00950685">
        <w:rPr>
          <w:rFonts w:ascii="Arial" w:hAnsi="Arial" w:cs="Arial"/>
        </w:rPr>
        <w:t xml:space="preserve"> Incongruence</w:t>
      </w:r>
      <w:r w:rsidRPr="00BD43FB">
        <w:rPr>
          <w:rFonts w:ascii="Arial" w:hAnsi="Arial" w:cs="Arial"/>
        </w:rPr>
        <w:t xml:space="preserve"> Service</w:t>
      </w:r>
      <w:r w:rsidR="005C4571">
        <w:rPr>
          <w:rFonts w:ascii="Arial" w:hAnsi="Arial" w:cs="Arial"/>
        </w:rPr>
        <w:t>s</w:t>
      </w:r>
      <w:r w:rsidR="0065020A">
        <w:rPr>
          <w:rFonts w:ascii="Arial" w:hAnsi="Arial" w:cs="Arial"/>
        </w:rPr>
        <w:t xml:space="preserve"> for </w:t>
      </w:r>
      <w:r w:rsidR="00D20451">
        <w:rPr>
          <w:rFonts w:ascii="Arial" w:hAnsi="Arial" w:cs="Arial"/>
        </w:rPr>
        <w:t>CYP</w:t>
      </w:r>
      <w:r w:rsidR="003B5001">
        <w:rPr>
          <w:rFonts w:ascii="Arial" w:hAnsi="Arial" w:cs="Arial"/>
        </w:rPr>
        <w:t xml:space="preserve"> in </w:t>
      </w:r>
      <w:r w:rsidRPr="00BD43FB">
        <w:rPr>
          <w:rFonts w:ascii="Arial" w:hAnsi="Arial" w:cs="Arial"/>
        </w:rPr>
        <w:t xml:space="preserve">London and the </w:t>
      </w:r>
      <w:r w:rsidR="004A50C3" w:rsidRPr="00BD43FB">
        <w:rPr>
          <w:rFonts w:ascii="Arial" w:hAnsi="Arial" w:cs="Arial"/>
        </w:rPr>
        <w:t>Northwest</w:t>
      </w:r>
      <w:r w:rsidRPr="00BD43FB">
        <w:rPr>
          <w:rFonts w:ascii="Arial" w:hAnsi="Arial" w:cs="Arial"/>
        </w:rPr>
        <w:t xml:space="preserve"> opened </w:t>
      </w:r>
      <w:r w:rsidR="006B1BB3">
        <w:rPr>
          <w:rFonts w:ascii="Arial" w:hAnsi="Arial" w:cs="Arial"/>
        </w:rPr>
        <w:t>as</w:t>
      </w:r>
      <w:r w:rsidR="00830D81" w:rsidRPr="00BD43FB">
        <w:rPr>
          <w:rFonts w:ascii="Arial" w:hAnsi="Arial" w:cs="Arial"/>
        </w:rPr>
        <w:t xml:space="preserve"> </w:t>
      </w:r>
      <w:r w:rsidRPr="00BD43FB">
        <w:rPr>
          <w:rFonts w:ascii="Arial" w:hAnsi="Arial" w:cs="Arial"/>
        </w:rPr>
        <w:t xml:space="preserve">the </w:t>
      </w:r>
      <w:r w:rsidR="0065020A">
        <w:rPr>
          <w:rFonts w:ascii="Arial" w:hAnsi="Arial" w:cs="Arial"/>
        </w:rPr>
        <w:t xml:space="preserve">previous </w:t>
      </w:r>
      <w:r w:rsidRPr="00BD43FB">
        <w:rPr>
          <w:rFonts w:ascii="Arial" w:hAnsi="Arial" w:cs="Arial"/>
        </w:rPr>
        <w:t>Gender Identity Development Service (G</w:t>
      </w:r>
      <w:r w:rsidR="0065020A">
        <w:rPr>
          <w:rFonts w:ascii="Arial" w:hAnsi="Arial" w:cs="Arial"/>
        </w:rPr>
        <w:t>ID</w:t>
      </w:r>
      <w:r w:rsidR="00D20451">
        <w:rPr>
          <w:rFonts w:ascii="Arial" w:hAnsi="Arial" w:cs="Arial"/>
        </w:rPr>
        <w:t>S</w:t>
      </w:r>
      <w:r w:rsidRPr="00BD43FB">
        <w:rPr>
          <w:rFonts w:ascii="Arial" w:hAnsi="Arial" w:cs="Arial"/>
        </w:rPr>
        <w:t xml:space="preserve">) at the Tavistock and Portman NHS Trust closed on 31 March 2024. All </w:t>
      </w:r>
      <w:r w:rsidR="00AA36B6" w:rsidRPr="00BD43FB">
        <w:rPr>
          <w:rFonts w:ascii="Arial" w:hAnsi="Arial" w:cs="Arial"/>
        </w:rPr>
        <w:t>patients</w:t>
      </w:r>
      <w:r w:rsidRPr="00BD43FB">
        <w:rPr>
          <w:rFonts w:ascii="Arial" w:hAnsi="Arial" w:cs="Arial"/>
        </w:rPr>
        <w:t xml:space="preserve"> under the care of Tavistock &amp; Portman GIDS transferred to the new </w:t>
      </w:r>
      <w:r w:rsidR="005F785E">
        <w:rPr>
          <w:rFonts w:ascii="Arial" w:hAnsi="Arial" w:cs="Arial"/>
        </w:rPr>
        <w:t xml:space="preserve">NHS </w:t>
      </w:r>
      <w:r w:rsidRPr="00BD43FB">
        <w:rPr>
          <w:rFonts w:ascii="Arial" w:hAnsi="Arial" w:cs="Arial"/>
        </w:rPr>
        <w:t xml:space="preserve">Gender </w:t>
      </w:r>
      <w:r w:rsidR="005F785E">
        <w:rPr>
          <w:rFonts w:ascii="Arial" w:hAnsi="Arial" w:cs="Arial"/>
        </w:rPr>
        <w:t xml:space="preserve">Incongruence </w:t>
      </w:r>
      <w:r w:rsidRPr="00BD43FB">
        <w:rPr>
          <w:rFonts w:ascii="Arial" w:hAnsi="Arial" w:cs="Arial"/>
        </w:rPr>
        <w:t>Services</w:t>
      </w:r>
      <w:r w:rsidR="004D5550">
        <w:rPr>
          <w:rFonts w:ascii="Arial" w:hAnsi="Arial" w:cs="Arial"/>
        </w:rPr>
        <w:t xml:space="preserve">, </w:t>
      </w:r>
      <w:r w:rsidR="00AA36B6" w:rsidRPr="00BD43FB">
        <w:rPr>
          <w:rFonts w:ascii="Arial" w:hAnsi="Arial" w:cs="Arial"/>
        </w:rPr>
        <w:t xml:space="preserve">Staff are being recruited but waiting times are currently long. </w:t>
      </w:r>
    </w:p>
    <w:p w14:paraId="56C2CD8E" w14:textId="77777777" w:rsidR="00BD43FB" w:rsidRPr="00BD43FB" w:rsidRDefault="00BD43FB" w:rsidP="00E80ED0">
      <w:pPr>
        <w:spacing w:after="0" w:line="240" w:lineRule="auto"/>
        <w:jc w:val="both"/>
        <w:rPr>
          <w:rFonts w:ascii="Arial" w:hAnsi="Arial" w:cs="Arial"/>
        </w:rPr>
      </w:pPr>
    </w:p>
    <w:p w14:paraId="1532D182" w14:textId="67E218F7" w:rsidR="00AA36B6" w:rsidRDefault="00AA36B6" w:rsidP="00E80ED0">
      <w:pPr>
        <w:spacing w:after="0" w:line="240" w:lineRule="auto"/>
        <w:jc w:val="both"/>
        <w:rPr>
          <w:rFonts w:ascii="Arial" w:hAnsi="Arial" w:cs="Arial"/>
        </w:rPr>
      </w:pPr>
      <w:r w:rsidRPr="00BD43FB">
        <w:rPr>
          <w:rFonts w:ascii="Arial" w:hAnsi="Arial" w:cs="Arial"/>
        </w:rPr>
        <w:t>The new service has written to CYP and their f</w:t>
      </w:r>
      <w:r w:rsidR="0058526F">
        <w:rPr>
          <w:rFonts w:ascii="Arial" w:hAnsi="Arial" w:cs="Arial"/>
        </w:rPr>
        <w:t>a</w:t>
      </w:r>
      <w:r w:rsidRPr="00BD43FB">
        <w:rPr>
          <w:rFonts w:ascii="Arial" w:hAnsi="Arial" w:cs="Arial"/>
        </w:rPr>
        <w:t xml:space="preserve">milies on the waiting lists offering access to local mental health support provided by the local CAMHS service. Primary care will be informed by </w:t>
      </w:r>
      <w:r w:rsidR="00A44B45" w:rsidRPr="00BD43FB">
        <w:rPr>
          <w:rFonts w:ascii="Arial" w:hAnsi="Arial" w:cs="Arial"/>
        </w:rPr>
        <w:t>the Gender Service of the patient’s decision regarding mental health support.</w:t>
      </w:r>
    </w:p>
    <w:p w14:paraId="65562B08" w14:textId="77777777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</w:p>
    <w:p w14:paraId="3C08BDA3" w14:textId="15EA528F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  <w:r w:rsidRPr="001C10A9">
        <w:rPr>
          <w:rFonts w:ascii="Arial" w:hAnsi="Arial" w:cs="Arial"/>
          <w:b/>
          <w:bCs/>
        </w:rPr>
        <w:t>New Referrals</w:t>
      </w:r>
    </w:p>
    <w:p w14:paraId="6789164E" w14:textId="77777777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</w:p>
    <w:p w14:paraId="3FA28161" w14:textId="17950688" w:rsidR="001C10A9" w:rsidRDefault="001C10A9" w:rsidP="001C10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is now a National </w:t>
      </w:r>
      <w:bookmarkStart w:id="0" w:name="_Hlk172714401"/>
      <w:r w:rsidR="00A92CF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eferral </w:t>
      </w:r>
      <w:r w:rsidR="00A92CF4">
        <w:rPr>
          <w:rFonts w:ascii="Arial" w:hAnsi="Arial" w:cs="Arial"/>
        </w:rPr>
        <w:t>S</w:t>
      </w:r>
      <w:r>
        <w:rPr>
          <w:rFonts w:ascii="Arial" w:hAnsi="Arial" w:cs="Arial"/>
        </w:rPr>
        <w:t>upport S</w:t>
      </w:r>
      <w:r w:rsidR="00A92CF4">
        <w:rPr>
          <w:rFonts w:ascii="Arial" w:hAnsi="Arial" w:cs="Arial"/>
        </w:rPr>
        <w:t>ervice (NRSS)</w:t>
      </w:r>
      <w:r>
        <w:rPr>
          <w:rFonts w:ascii="Arial" w:hAnsi="Arial" w:cs="Arial"/>
        </w:rPr>
        <w:t xml:space="preserve"> for NHS gender incongruence service for Children and young people provided by Arden and GEM on behalf of NHS England. The referral form and guidance on making a referral can be found here </w:t>
      </w:r>
      <w:hyperlink r:id="rId8" w:history="1">
        <w:r w:rsidRPr="00950685">
          <w:rPr>
            <w:rStyle w:val="Hyperlink"/>
            <w:rFonts w:ascii="Arial" w:hAnsi="Arial" w:cs="Arial"/>
            <w:color w:val="0033CC"/>
            <w:spacing w:val="15"/>
            <w:shd w:val="clear" w:color="auto" w:fill="FFFFFF"/>
          </w:rPr>
          <w:t>NRSS</w:t>
        </w:r>
      </w:hyperlink>
      <w:bookmarkEnd w:id="0"/>
    </w:p>
    <w:p w14:paraId="1575963D" w14:textId="77777777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</w:p>
    <w:p w14:paraId="44373291" w14:textId="39B3FA19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  <w:r w:rsidRPr="001C10A9">
        <w:rPr>
          <w:rFonts w:ascii="Arial" w:hAnsi="Arial" w:cs="Arial"/>
          <w:b/>
          <w:bCs/>
        </w:rPr>
        <w:t>Children aged 7 years to 16 years</w:t>
      </w:r>
      <w:r>
        <w:rPr>
          <w:rFonts w:ascii="Arial" w:hAnsi="Arial" w:cs="Arial"/>
        </w:rPr>
        <w:t xml:space="preserve"> refer to the NHS gender incongruence service for children and young people.</w:t>
      </w:r>
    </w:p>
    <w:p w14:paraId="7DE54056" w14:textId="42218923" w:rsidR="001C10A9" w:rsidRDefault="001C10A9" w:rsidP="00E80ED0">
      <w:pPr>
        <w:spacing w:after="0" w:line="240" w:lineRule="auto"/>
        <w:jc w:val="both"/>
        <w:rPr>
          <w:rFonts w:ascii="Arial" w:hAnsi="Arial" w:cs="Arial"/>
        </w:rPr>
      </w:pPr>
      <w:r w:rsidRPr="001C10A9">
        <w:rPr>
          <w:rFonts w:ascii="Arial" w:hAnsi="Arial" w:cs="Arial"/>
          <w:b/>
          <w:bCs/>
        </w:rPr>
        <w:t>Young people aged 17 years and older</w:t>
      </w:r>
      <w:r>
        <w:rPr>
          <w:rFonts w:ascii="Arial" w:hAnsi="Arial" w:cs="Arial"/>
        </w:rPr>
        <w:t xml:space="preserve"> Given long wait times refer to adult gender services as this cohort are likely to be over 18 when seen.</w:t>
      </w:r>
    </w:p>
    <w:p w14:paraId="658297A9" w14:textId="0B17BF8E" w:rsidR="008627CE" w:rsidRDefault="001C10A9" w:rsidP="001C10A9">
      <w:pPr>
        <w:spacing w:after="0" w:line="240" w:lineRule="auto"/>
        <w:jc w:val="both"/>
        <w:rPr>
          <w:rFonts w:ascii="Arial" w:hAnsi="Arial" w:cs="Arial"/>
        </w:rPr>
      </w:pPr>
      <w:r w:rsidRPr="00E55E9C">
        <w:rPr>
          <w:rFonts w:ascii="Arial" w:hAnsi="Arial" w:cs="Arial"/>
          <w:b/>
          <w:bCs/>
        </w:rPr>
        <w:t xml:space="preserve">Please remember </w:t>
      </w:r>
      <w:r w:rsidR="008627CE" w:rsidRPr="00E55E9C">
        <w:rPr>
          <w:rFonts w:ascii="Arial" w:hAnsi="Arial" w:cs="Arial"/>
          <w:b/>
          <w:bCs/>
        </w:rPr>
        <w:t>to assess safeguarding, mental health, and neurodiversity</w:t>
      </w:r>
      <w:r w:rsidR="008627CE">
        <w:rPr>
          <w:rFonts w:ascii="Arial" w:hAnsi="Arial" w:cs="Arial"/>
        </w:rPr>
        <w:t xml:space="preserve"> in this patient cohort and refer as appropriate.</w:t>
      </w:r>
    </w:p>
    <w:p w14:paraId="409EF9FE" w14:textId="77777777" w:rsidR="008627CE" w:rsidRDefault="008627CE" w:rsidP="001C10A9">
      <w:pPr>
        <w:spacing w:after="0" w:line="240" w:lineRule="auto"/>
        <w:jc w:val="both"/>
        <w:rPr>
          <w:rFonts w:ascii="Arial" w:hAnsi="Arial" w:cs="Arial"/>
        </w:rPr>
      </w:pPr>
    </w:p>
    <w:p w14:paraId="270863E4" w14:textId="6BD251D8" w:rsidR="6CC5E023" w:rsidRDefault="6CC5E023" w:rsidP="6CC5E02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BF7E2E" w14:textId="77777777" w:rsidR="00D67A2F" w:rsidRDefault="00D67A2F" w:rsidP="008627C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A7EA1F" w14:textId="5E0DA32B" w:rsidR="008627CE" w:rsidRDefault="008627CE" w:rsidP="008627CE">
      <w:pPr>
        <w:spacing w:after="0" w:line="240" w:lineRule="auto"/>
        <w:jc w:val="both"/>
        <w:rPr>
          <w:rFonts w:ascii="Arial" w:hAnsi="Arial" w:cs="Arial"/>
        </w:rPr>
      </w:pPr>
      <w:r w:rsidRPr="008627CE">
        <w:rPr>
          <w:rFonts w:ascii="Arial" w:hAnsi="Arial" w:cs="Arial"/>
          <w:b/>
          <w:bCs/>
        </w:rPr>
        <w:t>Prescribing GnRH Analogues For Puberty Suppression (Puberty Blockers)</w:t>
      </w:r>
    </w:p>
    <w:p w14:paraId="2CA15763" w14:textId="77777777" w:rsidR="008627CE" w:rsidRDefault="008627CE" w:rsidP="008627CE">
      <w:pPr>
        <w:spacing w:after="0" w:line="240" w:lineRule="auto"/>
        <w:jc w:val="both"/>
        <w:rPr>
          <w:rFonts w:ascii="Arial" w:hAnsi="Arial" w:cs="Arial"/>
        </w:rPr>
      </w:pPr>
    </w:p>
    <w:p w14:paraId="218F8D56" w14:textId="6C664E03" w:rsidR="008627CE" w:rsidRDefault="008627CE" w:rsidP="008627CE">
      <w:pPr>
        <w:spacing w:after="0" w:line="240" w:lineRule="auto"/>
        <w:jc w:val="both"/>
        <w:rPr>
          <w:rFonts w:ascii="Arial" w:hAnsi="Arial" w:cs="Arial"/>
          <w:spacing w:val="15"/>
          <w:shd w:val="clear" w:color="auto" w:fill="FFFFFF"/>
        </w:rPr>
      </w:pPr>
      <w:r>
        <w:rPr>
          <w:rFonts w:ascii="Arial" w:hAnsi="Arial" w:cs="Arial"/>
        </w:rPr>
        <w:t xml:space="preserve">On </w:t>
      </w:r>
      <w:r w:rsidR="00E22C1B">
        <w:rPr>
          <w:rFonts w:ascii="Arial" w:hAnsi="Arial" w:cs="Arial"/>
        </w:rPr>
        <w:t>3 June 2024,</w:t>
      </w:r>
      <w:r>
        <w:rPr>
          <w:rFonts w:ascii="Arial" w:hAnsi="Arial" w:cs="Arial"/>
        </w:rPr>
        <w:t xml:space="preserve"> the Government brought in new legislation on puberty blockers.</w:t>
      </w:r>
      <w:r w:rsidR="00E22C1B">
        <w:rPr>
          <w:rFonts w:ascii="Arial" w:hAnsi="Arial" w:cs="Arial"/>
        </w:rPr>
        <w:t xml:space="preserve"> The new arrangements apply to medicines that consist of or contain </w:t>
      </w:r>
      <w:proofErr w:type="spellStart"/>
      <w:r w:rsidR="00E22C1B">
        <w:rPr>
          <w:rFonts w:ascii="Arial" w:hAnsi="Arial" w:cs="Arial"/>
        </w:rPr>
        <w:t>buserelin</w:t>
      </w:r>
      <w:proofErr w:type="spellEnd"/>
      <w:r w:rsidR="00E22C1B">
        <w:rPr>
          <w:rFonts w:ascii="Arial" w:hAnsi="Arial" w:cs="Arial"/>
        </w:rPr>
        <w:t xml:space="preserve">, gonadorelin, </w:t>
      </w:r>
      <w:r w:rsidR="00B2263D">
        <w:rPr>
          <w:rFonts w:ascii="Arial" w:hAnsi="Arial" w:cs="Arial"/>
        </w:rPr>
        <w:t xml:space="preserve">goserelin, </w:t>
      </w:r>
      <w:r w:rsidR="00E22C1B">
        <w:rPr>
          <w:rFonts w:ascii="Arial" w:hAnsi="Arial" w:cs="Arial"/>
        </w:rPr>
        <w:t xml:space="preserve">leuprorelin acetate, </w:t>
      </w:r>
      <w:proofErr w:type="spellStart"/>
      <w:r w:rsidR="00E22C1B">
        <w:rPr>
          <w:rFonts w:ascii="Arial" w:hAnsi="Arial" w:cs="Arial"/>
        </w:rPr>
        <w:t>nafarelin</w:t>
      </w:r>
      <w:proofErr w:type="spellEnd"/>
      <w:r w:rsidR="00E22C1B">
        <w:rPr>
          <w:rFonts w:ascii="Arial" w:hAnsi="Arial" w:cs="Arial"/>
        </w:rPr>
        <w:t xml:space="preserve">, or triptorelin. This includes, but is not limited to, medicines sold under the brand names: </w:t>
      </w:r>
      <w:proofErr w:type="spellStart"/>
      <w:r w:rsidR="00E22C1B">
        <w:rPr>
          <w:rFonts w:ascii="Arial" w:hAnsi="Arial" w:cs="Arial"/>
        </w:rPr>
        <w:t>Decapepty</w:t>
      </w:r>
      <w:r w:rsidR="00DC698C">
        <w:rPr>
          <w:rFonts w:ascii="Arial" w:hAnsi="Arial" w:cs="Arial"/>
        </w:rPr>
        <w:t>l</w:t>
      </w:r>
      <w:proofErr w:type="spellEnd"/>
      <w:r w:rsidR="00E22C1B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Gonapeptyl</w:t>
      </w:r>
      <w:proofErr w:type="spellEnd"/>
      <w:r w:rsidR="00DC698C">
        <w:rPr>
          <w:rFonts w:ascii="Arial" w:hAnsi="Arial" w:cs="Arial"/>
          <w:spacing w:val="15"/>
          <w:shd w:val="clear" w:color="auto" w:fill="FFFFFF"/>
        </w:rPr>
        <w:t xml:space="preserve"> Depot</w:t>
      </w:r>
      <w:r w:rsidR="00DC698C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Salvacyl</w:t>
      </w:r>
      <w:proofErr w:type="spellEnd"/>
      <w:r w:rsidR="00DC698C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Prostap</w:t>
      </w:r>
      <w:proofErr w:type="spellEnd"/>
      <w:r w:rsidR="00DC698C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Staladex</w:t>
      </w:r>
      <w:proofErr w:type="spellEnd"/>
      <w:r w:rsidR="00DC698C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Zoladex</w:t>
      </w:r>
      <w:proofErr w:type="spellEnd"/>
      <w:r w:rsidR="00DC698C" w:rsidRPr="00BD43FB">
        <w:rPr>
          <w:rFonts w:ascii="Arial" w:hAnsi="Arial" w:cs="Arial"/>
          <w:spacing w:val="15"/>
          <w:shd w:val="clear" w:color="auto" w:fill="FFFFFF"/>
        </w:rPr>
        <w:t>®</w:t>
      </w:r>
      <w:r w:rsidR="00DC698C">
        <w:rPr>
          <w:rFonts w:ascii="Arial" w:hAnsi="Arial" w:cs="Arial"/>
          <w:spacing w:val="15"/>
          <w:shd w:val="clear" w:color="auto" w:fill="FFFFFF"/>
        </w:rPr>
        <w:t xml:space="preserve">, </w:t>
      </w:r>
      <w:proofErr w:type="spellStart"/>
      <w:r w:rsidR="00DC698C">
        <w:rPr>
          <w:rFonts w:ascii="Arial" w:hAnsi="Arial" w:cs="Arial"/>
          <w:spacing w:val="15"/>
          <w:shd w:val="clear" w:color="auto" w:fill="FFFFFF"/>
        </w:rPr>
        <w:t>Synarel</w:t>
      </w:r>
      <w:proofErr w:type="spellEnd"/>
      <w:r w:rsidR="00DC698C">
        <w:rPr>
          <w:rFonts w:ascii="Arial" w:hAnsi="Arial" w:cs="Arial"/>
          <w:spacing w:val="15"/>
          <w:shd w:val="clear" w:color="auto" w:fill="FFFFFF"/>
        </w:rPr>
        <w:t>.</w:t>
      </w:r>
    </w:p>
    <w:p w14:paraId="5467733D" w14:textId="77777777" w:rsidR="00FE57EC" w:rsidRDefault="00FE57EC" w:rsidP="008627CE">
      <w:pPr>
        <w:spacing w:after="0" w:line="240" w:lineRule="auto"/>
        <w:jc w:val="both"/>
        <w:rPr>
          <w:rFonts w:ascii="Arial" w:hAnsi="Arial" w:cs="Arial"/>
          <w:spacing w:val="15"/>
          <w:shd w:val="clear" w:color="auto" w:fill="FFFFFF"/>
        </w:rPr>
      </w:pPr>
    </w:p>
    <w:p w14:paraId="4B8520CE" w14:textId="775AC959" w:rsidR="00FE57EC" w:rsidRPr="00FE57EC" w:rsidRDefault="00FE57EC" w:rsidP="00FE57EC">
      <w:pPr>
        <w:jc w:val="both"/>
        <w:rPr>
          <w:rFonts w:ascii="Arial" w:eastAsia="Calibri" w:hAnsi="Arial" w:cs="Arial"/>
        </w:rPr>
      </w:pPr>
      <w:r w:rsidRPr="6CC5E023">
        <w:rPr>
          <w:rFonts w:ascii="Arial" w:eastAsia="Calibri" w:hAnsi="Arial" w:cs="Arial"/>
        </w:rPr>
        <w:lastRenderedPageBreak/>
        <w:t xml:space="preserve">This means it is a criminal offence for a pharmacist, doctor or any other individual in Great Britain to sell or supply these drugs to patients under the age of 18 unless they are under the care of the </w:t>
      </w:r>
      <w:r w:rsidR="0065020A">
        <w:rPr>
          <w:rFonts w:ascii="Arial" w:eastAsia="Calibri" w:hAnsi="Arial" w:cs="Arial"/>
        </w:rPr>
        <w:t xml:space="preserve">new </w:t>
      </w:r>
      <w:r w:rsidRPr="6CC5E023">
        <w:rPr>
          <w:rFonts w:ascii="Arial" w:eastAsia="Calibri" w:hAnsi="Arial" w:cs="Arial"/>
        </w:rPr>
        <w:t>NHS</w:t>
      </w:r>
      <w:r w:rsidR="5BEE044A" w:rsidRPr="6CC5E023">
        <w:rPr>
          <w:rFonts w:ascii="Arial" w:eastAsia="Calibri" w:hAnsi="Arial" w:cs="Arial"/>
        </w:rPr>
        <w:t xml:space="preserve"> </w:t>
      </w:r>
      <w:r w:rsidR="00070FB1">
        <w:rPr>
          <w:rFonts w:ascii="Arial" w:eastAsia="Calibri" w:hAnsi="Arial" w:cs="Arial"/>
        </w:rPr>
        <w:t xml:space="preserve">CYP </w:t>
      </w:r>
      <w:r w:rsidR="5BEE044A" w:rsidRPr="6CC5E023">
        <w:rPr>
          <w:rFonts w:ascii="Arial" w:eastAsia="Calibri" w:hAnsi="Arial" w:cs="Arial"/>
        </w:rPr>
        <w:t>Gender I</w:t>
      </w:r>
      <w:r w:rsidR="0065020A">
        <w:rPr>
          <w:rFonts w:ascii="Arial" w:eastAsia="Calibri" w:hAnsi="Arial" w:cs="Arial"/>
        </w:rPr>
        <w:t>ncongruence</w:t>
      </w:r>
      <w:r w:rsidR="5BEE044A" w:rsidRPr="6CC5E023">
        <w:rPr>
          <w:rFonts w:ascii="Arial" w:eastAsia="Calibri" w:hAnsi="Arial" w:cs="Arial"/>
        </w:rPr>
        <w:t xml:space="preserve"> Service</w:t>
      </w:r>
      <w:r w:rsidR="0065020A">
        <w:rPr>
          <w:rFonts w:ascii="Arial" w:eastAsia="Calibri" w:hAnsi="Arial" w:cs="Arial"/>
        </w:rPr>
        <w:t>s</w:t>
      </w:r>
      <w:r w:rsidRPr="6CC5E023">
        <w:rPr>
          <w:rFonts w:ascii="Arial" w:eastAsia="Calibri" w:hAnsi="Arial" w:cs="Arial"/>
        </w:rPr>
        <w:t xml:space="preserve"> or certain specific circumstances outlined in the attached letter to children and their families.</w:t>
      </w:r>
    </w:p>
    <w:p w14:paraId="58879E8A" w14:textId="6811D75F" w:rsidR="006252A4" w:rsidRPr="000D3753" w:rsidRDefault="00CC3591" w:rsidP="00FE57EC">
      <w:pPr>
        <w:spacing w:after="0" w:line="240" w:lineRule="auto"/>
        <w:jc w:val="both"/>
        <w:rPr>
          <w:rFonts w:ascii="Arial" w:hAnsi="Arial" w:cs="Arial"/>
          <w:color w:val="C00000"/>
          <w:spacing w:val="15"/>
          <w:shd w:val="clear" w:color="auto" w:fill="FFFFFF"/>
        </w:rPr>
      </w:pPr>
      <w:r>
        <w:object w:dxaOrig="1301" w:dyaOrig="850" w14:anchorId="5DDE3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2.75pt" o:ole="">
            <v:imagedata r:id="rId9" o:title=""/>
          </v:shape>
          <o:OLEObject Type="Embed" ProgID="AcroExch.Document.DC" ShapeID="_x0000_i1025" DrawAspect="Icon" ObjectID="_1783344873" r:id="rId10"/>
        </w:object>
      </w:r>
    </w:p>
    <w:p w14:paraId="04D3B5E9" w14:textId="405E0077" w:rsidR="000C29BF" w:rsidRPr="00BD43FB" w:rsidRDefault="000C29BF" w:rsidP="00E80ED0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14:paraId="0827151E" w14:textId="77777777" w:rsidR="005A0A2A" w:rsidRPr="00BD43FB" w:rsidRDefault="005A0A2A" w:rsidP="005A0BB4">
      <w:pPr>
        <w:pStyle w:val="ListParagraph"/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36838777" w14:textId="73D60D87" w:rsidR="00B16229" w:rsidRPr="00015612" w:rsidRDefault="00681D8E" w:rsidP="00E80ED0">
      <w:pPr>
        <w:spacing w:after="0" w:line="240" w:lineRule="auto"/>
        <w:jc w:val="both"/>
        <w:rPr>
          <w:rStyle w:val="Hyperlink"/>
          <w:rFonts w:ascii="Arial" w:hAnsi="Arial" w:cs="Arial"/>
          <w:color w:val="0033CC"/>
        </w:rPr>
      </w:pPr>
      <w:bookmarkStart w:id="1" w:name="_Hlk172714888"/>
      <w:r w:rsidRPr="00BD43FB">
        <w:rPr>
          <w:rFonts w:ascii="Arial" w:hAnsi="Arial" w:cs="Arial"/>
        </w:rPr>
        <w:t>The RCGP has provided</w:t>
      </w:r>
      <w:r w:rsidR="002347B4" w:rsidRPr="00BD43FB">
        <w:rPr>
          <w:rFonts w:ascii="Arial" w:hAnsi="Arial" w:cs="Arial"/>
        </w:rPr>
        <w:t xml:space="preserve"> helpful information for primary care, including prescribing</w:t>
      </w:r>
      <w:r w:rsidR="00BB10C9" w:rsidRPr="00BD43FB">
        <w:rPr>
          <w:rFonts w:ascii="Arial" w:hAnsi="Arial" w:cs="Arial"/>
          <w:b/>
          <w:bCs/>
        </w:rPr>
        <w:t xml:space="preserve"> </w:t>
      </w:r>
      <w:hyperlink r:id="rId11" w:anchor=":~:text=their%20gender%20identity.-,The%20RCGP%20considers%20that%20the%20role%20of%20the%20GP%20includes,and%20within%20their%20broader%20environment." w:history="1">
        <w:r w:rsidR="003F0DF1" w:rsidRPr="00015612">
          <w:rPr>
            <w:rStyle w:val="Hyperlink"/>
            <w:rFonts w:ascii="Arial" w:hAnsi="Arial" w:cs="Arial"/>
            <w:color w:val="0033CC"/>
          </w:rPr>
          <w:t>RCGP-Gender Identity Issues-Role of the GP</w:t>
        </w:r>
      </w:hyperlink>
    </w:p>
    <w:bookmarkEnd w:id="1"/>
    <w:p w14:paraId="65A7F5A6" w14:textId="77777777" w:rsidR="00A173FF" w:rsidRDefault="00A173FF" w:rsidP="00E80ED0">
      <w:pP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</w:p>
    <w:p w14:paraId="3242A280" w14:textId="77777777" w:rsidR="00CC3591" w:rsidRDefault="00CC3591" w:rsidP="6CC5E023">
      <w:pP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6AE898AA" w14:textId="77777777" w:rsidR="00CC3591" w:rsidRDefault="00CC3591" w:rsidP="6CC5E023">
      <w:pP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</w:pPr>
    </w:p>
    <w:p w14:paraId="1C601222" w14:textId="22351EBA" w:rsidR="001C3DA5" w:rsidRPr="001C3DA5" w:rsidRDefault="00A173FF" w:rsidP="6CC5E023">
      <w:pPr>
        <w:spacing w:after="0" w:line="240" w:lineRule="auto"/>
        <w:jc w:val="both"/>
        <w:rPr>
          <w:rFonts w:ascii="Arial" w:hAnsi="Arial" w:cs="Arial"/>
          <w:b/>
          <w:bCs/>
          <w:spacing w:val="15"/>
        </w:rPr>
      </w:pPr>
      <w:r w:rsidRPr="6CC5E02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Useful Resources</w:t>
      </w:r>
      <w:r w:rsidR="00950685" w:rsidRPr="6CC5E02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for P</w:t>
      </w:r>
      <w:r w:rsidR="003B5001" w:rsidRPr="6CC5E02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rofessiona</w:t>
      </w:r>
      <w:r w:rsidR="31593ECB" w:rsidRPr="6CC5E02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ls</w:t>
      </w:r>
    </w:p>
    <w:p w14:paraId="54A4DB1F" w14:textId="54BEB11D" w:rsidR="001C3DA5" w:rsidRPr="001C3DA5" w:rsidRDefault="001C3DA5" w:rsidP="6CC5E023">
      <w:pPr>
        <w:spacing w:after="0" w:line="240" w:lineRule="auto"/>
        <w:jc w:val="both"/>
        <w:rPr>
          <w:rFonts w:ascii="Arial" w:hAnsi="Arial" w:cs="Arial"/>
          <w:b/>
          <w:bCs/>
          <w:spacing w:val="15"/>
        </w:rPr>
      </w:pPr>
    </w:p>
    <w:p w14:paraId="234253A4" w14:textId="13A1C8C6" w:rsidR="001C3DA5" w:rsidRPr="001C3DA5" w:rsidRDefault="00727DC3" w:rsidP="6CC5E023">
      <w:pPr>
        <w:spacing w:after="0" w:line="240" w:lineRule="auto"/>
        <w:jc w:val="both"/>
        <w:rPr>
          <w:rFonts w:ascii="Arial" w:hAnsi="Arial" w:cs="Arial"/>
          <w:spacing w:val="15"/>
        </w:rPr>
      </w:pPr>
      <w:hyperlink r:id="rId12" w:history="1">
        <w:r w:rsidR="31593ECB" w:rsidRPr="00A92CF4">
          <w:rPr>
            <w:rStyle w:val="Hyperlink"/>
            <w:rFonts w:ascii="Arial" w:hAnsi="Arial" w:cs="Arial"/>
            <w:b/>
            <w:bCs/>
            <w:spacing w:val="15"/>
          </w:rPr>
          <w:t>H</w:t>
        </w:r>
        <w:r w:rsidR="003B5001" w:rsidRPr="00A92CF4">
          <w:rPr>
            <w:rStyle w:val="Hyperlink"/>
            <w:rFonts w:ascii="Arial" w:hAnsi="Arial" w:cs="Arial"/>
            <w:b/>
            <w:bCs/>
            <w:spacing w:val="15"/>
          </w:rPr>
          <w:t>ealthier Together</w:t>
        </w:r>
        <w:r w:rsidR="001C3DA5" w:rsidRPr="00A92CF4">
          <w:rPr>
            <w:rStyle w:val="Hyperlink"/>
            <w:rFonts w:ascii="Arial" w:hAnsi="Arial" w:cs="Arial"/>
            <w:spacing w:val="15"/>
          </w:rPr>
          <w:t xml:space="preserve"> </w:t>
        </w:r>
        <w:r w:rsidR="00A92CF4" w:rsidRPr="00A92CF4">
          <w:rPr>
            <w:rStyle w:val="Hyperlink"/>
            <w:rFonts w:ascii="Arial" w:hAnsi="Arial" w:cs="Arial"/>
            <w:b/>
            <w:bCs/>
            <w:spacing w:val="15"/>
          </w:rPr>
          <w:t>Professionals</w:t>
        </w:r>
      </w:hyperlink>
      <w:r w:rsidR="00A92CF4" w:rsidRPr="00A92CF4">
        <w:rPr>
          <w:rFonts w:ascii="Arial" w:hAnsi="Arial" w:cs="Arial"/>
          <w:b/>
          <w:bCs/>
          <w:spacing w:val="15"/>
        </w:rPr>
        <w:t xml:space="preserve"> </w:t>
      </w:r>
      <w:r w:rsidR="003B5001" w:rsidRPr="6CC5E023">
        <w:rPr>
          <w:rFonts w:ascii="Arial" w:hAnsi="Arial" w:cs="Arial"/>
          <w:spacing w:val="15"/>
        </w:rPr>
        <w:t>GP</w:t>
      </w:r>
      <w:r w:rsidR="001C3DA5" w:rsidRPr="6CC5E023">
        <w:rPr>
          <w:rFonts w:ascii="Arial" w:hAnsi="Arial" w:cs="Arial"/>
          <w:spacing w:val="15"/>
        </w:rPr>
        <w:t>/Primary Care</w:t>
      </w:r>
      <w:r w:rsidR="003B5001" w:rsidRPr="6CC5E023">
        <w:rPr>
          <w:rFonts w:ascii="Arial" w:hAnsi="Arial" w:cs="Arial"/>
          <w:spacing w:val="15"/>
        </w:rPr>
        <w:t xml:space="preserve"> information to support </w:t>
      </w:r>
      <w:hyperlink r:id="rId13" w:tgtFrame="_self" w:history="1">
        <w:r w:rsidR="001C3DA5" w:rsidRPr="6CC5E023">
          <w:rPr>
            <w:rStyle w:val="Hyperlink"/>
            <w:rFonts w:ascii="Arial" w:hAnsi="Arial" w:cs="Arial"/>
            <w:color w:val="auto"/>
            <w:u w:val="none"/>
          </w:rPr>
          <w:t>Children and Young People - Gender Identity and Sexual Orientation</w:t>
        </w:r>
      </w:hyperlink>
      <w:r w:rsidR="001C3DA5" w:rsidRPr="6CC5E023">
        <w:rPr>
          <w:rFonts w:ascii="Arial" w:hAnsi="Arial" w:cs="Arial"/>
        </w:rPr>
        <w:t xml:space="preserve"> </w:t>
      </w:r>
      <w:r w:rsidR="003B5001" w:rsidRPr="6CC5E023">
        <w:rPr>
          <w:rFonts w:ascii="Arial" w:hAnsi="Arial" w:cs="Arial"/>
          <w:spacing w:val="15"/>
        </w:rPr>
        <w:t>decision making</w:t>
      </w:r>
      <w:r w:rsidR="00323FB2" w:rsidRPr="6CC5E023">
        <w:rPr>
          <w:rFonts w:ascii="Arial" w:hAnsi="Arial" w:cs="Arial"/>
          <w:spacing w:val="15"/>
        </w:rPr>
        <w:t xml:space="preserve"> and </w:t>
      </w:r>
      <w:r w:rsidR="00323FB2" w:rsidRPr="6CC5E023">
        <w:rPr>
          <w:rFonts w:ascii="Arial" w:hAnsi="Arial" w:cs="Arial"/>
        </w:rPr>
        <w:t xml:space="preserve">signposting to </w:t>
      </w:r>
      <w:r w:rsidR="001C3DA5" w:rsidRPr="6CC5E023">
        <w:rPr>
          <w:rFonts w:ascii="Arial" w:hAnsi="Arial" w:cs="Arial"/>
        </w:rPr>
        <w:t>children, young people and parents</w:t>
      </w:r>
      <w:r w:rsidR="001C3DA5" w:rsidRPr="6CC5E023">
        <w:rPr>
          <w:rFonts w:ascii="Arial" w:hAnsi="Arial" w:cs="Arial"/>
          <w:b/>
          <w:bCs/>
        </w:rPr>
        <w:t xml:space="preserve">  </w:t>
      </w:r>
      <w:r w:rsidR="00323FB2" w:rsidRPr="6CC5E023">
        <w:rPr>
          <w:rFonts w:ascii="Arial" w:hAnsi="Arial" w:cs="Arial"/>
        </w:rPr>
        <w:t xml:space="preserve">LGBTQIA+ </w:t>
      </w:r>
      <w:r w:rsidR="004763D4" w:rsidRPr="6CC5E023">
        <w:rPr>
          <w:rFonts w:ascii="Arial" w:hAnsi="Arial" w:cs="Arial"/>
        </w:rPr>
        <w:t>support</w:t>
      </w:r>
      <w:r w:rsidR="001C3DA5" w:rsidRPr="6CC5E023">
        <w:rPr>
          <w:rFonts w:ascii="Arial" w:hAnsi="Arial" w:cs="Arial"/>
        </w:rPr>
        <w:t>.</w:t>
      </w:r>
    </w:p>
    <w:p w14:paraId="00586842" w14:textId="03E3AA50" w:rsidR="001C3DA5" w:rsidRDefault="003B5001" w:rsidP="00E65105">
      <w:pPr>
        <w:pStyle w:val="Heading4"/>
        <w:numPr>
          <w:ilvl w:val="0"/>
          <w:numId w:val="9"/>
        </w:numPr>
        <w:shd w:val="clear" w:color="auto" w:fill="FFFFFF"/>
        <w:spacing w:before="0" w:after="120"/>
        <w:ind w:left="714" w:hanging="357"/>
        <w:rPr>
          <w:rFonts w:ascii="Arial" w:hAnsi="Arial" w:cs="Arial"/>
          <w:color w:val="auto"/>
          <w:spacing w:val="15"/>
        </w:rPr>
      </w:pPr>
      <w:r w:rsidRPr="00F97ADA">
        <w:rPr>
          <w:rFonts w:ascii="Arial" w:hAnsi="Arial" w:cs="Arial"/>
          <w:b/>
          <w:bCs/>
          <w:i w:val="0"/>
          <w:iCs w:val="0"/>
          <w:color w:val="auto"/>
          <w:spacing w:val="15"/>
        </w:rPr>
        <w:t>RCGP</w:t>
      </w:r>
      <w:r w:rsidRPr="001C3DA5">
        <w:rPr>
          <w:rFonts w:ascii="Arial" w:hAnsi="Arial" w:cs="Arial"/>
          <w:color w:val="auto"/>
          <w:spacing w:val="15"/>
        </w:rPr>
        <w:t>: </w:t>
      </w:r>
      <w:hyperlink r:id="rId14" w:tgtFrame="_blank" w:history="1">
        <w:r w:rsidR="00E65105" w:rsidRPr="00015612">
          <w:rPr>
            <w:rStyle w:val="Hyperlink"/>
            <w:rFonts w:ascii="Arial" w:hAnsi="Arial" w:cs="Arial"/>
            <w:color w:val="0033CC"/>
            <w:spacing w:val="15"/>
          </w:rPr>
          <w:t>Supporting transgender and gender-diverse people</w:t>
        </w:r>
      </w:hyperlink>
      <w:bookmarkStart w:id="2" w:name="_Hlk172284749"/>
    </w:p>
    <w:p w14:paraId="5429F959" w14:textId="1567FE55" w:rsidR="001C3DA5" w:rsidRDefault="003B5001" w:rsidP="00E65105">
      <w:pPr>
        <w:pStyle w:val="Heading4"/>
        <w:numPr>
          <w:ilvl w:val="0"/>
          <w:numId w:val="9"/>
        </w:numPr>
        <w:shd w:val="clear" w:color="auto" w:fill="FFFFFF"/>
        <w:spacing w:before="0" w:after="120"/>
        <w:ind w:left="714" w:hanging="357"/>
        <w:rPr>
          <w:rFonts w:ascii="Arial" w:hAnsi="Arial" w:cs="Arial"/>
          <w:color w:val="auto"/>
          <w:spacing w:val="15"/>
        </w:rPr>
      </w:pPr>
      <w:proofErr w:type="spellStart"/>
      <w:r w:rsidRPr="00F97ADA">
        <w:rPr>
          <w:rFonts w:ascii="Arial" w:hAnsi="Arial" w:cs="Arial"/>
          <w:b/>
          <w:bCs/>
          <w:i w:val="0"/>
          <w:iCs w:val="0"/>
          <w:color w:val="auto"/>
          <w:spacing w:val="15"/>
        </w:rPr>
        <w:t>RCPsych</w:t>
      </w:r>
      <w:proofErr w:type="spellEnd"/>
      <w:r w:rsidRPr="001C3DA5">
        <w:rPr>
          <w:rFonts w:ascii="Arial" w:hAnsi="Arial" w:cs="Arial"/>
          <w:color w:val="auto"/>
          <w:spacing w:val="15"/>
        </w:rPr>
        <w:t>: </w:t>
      </w:r>
      <w:hyperlink r:id="rId15" w:tgtFrame="_blank" w:history="1">
        <w:r w:rsidR="00E65105" w:rsidRPr="00015612">
          <w:rPr>
            <w:rStyle w:val="Hyperlink"/>
            <w:rFonts w:ascii="Arial" w:hAnsi="Arial" w:cs="Arial"/>
            <w:color w:val="0033CC"/>
            <w:spacing w:val="15"/>
          </w:rPr>
          <w:t>Supporting transgender and gender-diverse people</w:t>
        </w:r>
      </w:hyperlink>
    </w:p>
    <w:p w14:paraId="52018047" w14:textId="3D3CE02C" w:rsidR="001C3DA5" w:rsidRDefault="003B5001" w:rsidP="00E65105">
      <w:pPr>
        <w:pStyle w:val="Heading4"/>
        <w:numPr>
          <w:ilvl w:val="0"/>
          <w:numId w:val="9"/>
        </w:numPr>
        <w:shd w:val="clear" w:color="auto" w:fill="FFFFFF"/>
        <w:spacing w:before="0" w:after="120"/>
        <w:ind w:left="714" w:hanging="357"/>
        <w:rPr>
          <w:rFonts w:ascii="Arial" w:hAnsi="Arial" w:cs="Arial"/>
          <w:color w:val="444552"/>
          <w:spacing w:val="15"/>
        </w:rPr>
      </w:pPr>
      <w:r w:rsidRPr="00F97ADA">
        <w:rPr>
          <w:rFonts w:ascii="Arial" w:hAnsi="Arial" w:cs="Arial"/>
          <w:b/>
          <w:bCs/>
          <w:i w:val="0"/>
          <w:iCs w:val="0"/>
          <w:color w:val="auto"/>
          <w:spacing w:val="15"/>
        </w:rPr>
        <w:t>NSPCC</w:t>
      </w:r>
      <w:r w:rsidRPr="001C3DA5">
        <w:rPr>
          <w:rFonts w:ascii="Arial" w:hAnsi="Arial" w:cs="Arial"/>
          <w:color w:val="auto"/>
          <w:spacing w:val="15"/>
        </w:rPr>
        <w:t>: </w:t>
      </w:r>
      <w:hyperlink r:id="rId16" w:tgtFrame="_blank" w:history="1">
        <w:r w:rsidR="00E65105" w:rsidRPr="00015612">
          <w:rPr>
            <w:rStyle w:val="Hyperlink"/>
            <w:rFonts w:ascii="Arial" w:hAnsi="Arial" w:cs="Arial"/>
            <w:color w:val="0033CC"/>
            <w:spacing w:val="15"/>
          </w:rPr>
          <w:t>Gender identity; Advice to help you understand what gender identity is and how to support a child</w:t>
        </w:r>
      </w:hyperlink>
      <w:bookmarkEnd w:id="2"/>
    </w:p>
    <w:p w14:paraId="5C648174" w14:textId="24AF3361" w:rsidR="00A60E0B" w:rsidRPr="00F97ADA" w:rsidRDefault="00A60E0B" w:rsidP="00F97AD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Style w:val="Hyperlink"/>
          <w:color w:val="auto"/>
          <w:u w:val="none"/>
        </w:rPr>
      </w:pPr>
      <w:proofErr w:type="spellStart"/>
      <w:r w:rsidRPr="00F97ADA">
        <w:rPr>
          <w:rFonts w:ascii="Arial" w:eastAsiaTheme="majorEastAsia" w:hAnsi="Arial" w:cs="Arial"/>
          <w:b/>
          <w:bCs/>
          <w:spacing w:val="15"/>
        </w:rPr>
        <w:t>MindEd</w:t>
      </w:r>
      <w:proofErr w:type="spellEnd"/>
      <w:r w:rsidRPr="00A60E0B">
        <w:rPr>
          <w:rFonts w:ascii="Arial" w:eastAsiaTheme="majorEastAsia" w:hAnsi="Arial" w:cs="Arial"/>
          <w:b/>
          <w:bCs/>
          <w:i/>
          <w:iCs/>
          <w:spacing w:val="15"/>
        </w:rPr>
        <w:t xml:space="preserve"> </w:t>
      </w:r>
      <w:hyperlink r:id="rId17" w:history="1">
        <w:r w:rsidRPr="00A60E0B">
          <w:rPr>
            <w:rStyle w:val="Hyperlink"/>
            <w:rFonts w:ascii="Arial" w:eastAsiaTheme="majorEastAsia" w:hAnsi="Arial" w:cs="Arial"/>
            <w:spacing w:val="15"/>
          </w:rPr>
          <w:t>Resources</w:t>
        </w:r>
      </w:hyperlink>
      <w:r w:rsidRPr="00A60E0B">
        <w:rPr>
          <w:rFonts w:ascii="Arial" w:eastAsiaTheme="majorEastAsia" w:hAnsi="Arial" w:cs="Arial"/>
          <w:spacing w:val="15"/>
        </w:rPr>
        <w:t xml:space="preserve"> </w:t>
      </w:r>
      <w:r w:rsidRPr="00A60E0B">
        <w:rPr>
          <w:rStyle w:val="Hyperlink"/>
          <w:rFonts w:ascii="Arial" w:hAnsi="Arial" w:cs="Arial"/>
          <w:color w:val="auto"/>
          <w:u w:val="none"/>
        </w:rPr>
        <w:t>for Professionals and Parent Carers who support young people with Gender questions and guidance to support your decision making.</w:t>
      </w:r>
    </w:p>
    <w:p w14:paraId="594C16BE" w14:textId="77777777" w:rsidR="001C4789" w:rsidRDefault="001C4789" w:rsidP="001C4789">
      <w:pPr>
        <w:spacing w:after="0" w:line="240" w:lineRule="auto"/>
        <w:jc w:val="both"/>
      </w:pPr>
    </w:p>
    <w:p w14:paraId="4B7A3B9C" w14:textId="25CA7680" w:rsidR="00D97029" w:rsidRPr="00A92CF4" w:rsidRDefault="003B5001" w:rsidP="00F97ADA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sz w:val="24"/>
          <w:szCs w:val="24"/>
          <w:u w:val="single"/>
        </w:rPr>
      </w:pPr>
      <w:proofErr w:type="spellStart"/>
      <w:r w:rsidRPr="00F97ADA">
        <w:rPr>
          <w:rFonts w:ascii="Arial" w:hAnsi="Arial" w:cs="Arial"/>
          <w:b/>
          <w:bCs/>
          <w:sz w:val="24"/>
          <w:szCs w:val="24"/>
        </w:rPr>
        <w:t>Kooth</w:t>
      </w:r>
      <w:proofErr w:type="spellEnd"/>
      <w:r w:rsidRPr="00F97ADA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18" w:history="1">
        <w:r w:rsidR="00DF6D53" w:rsidRPr="00F97ADA">
          <w:rPr>
            <w:rStyle w:val="Hyperlink"/>
            <w:rFonts w:ascii="Arial" w:hAnsi="Arial" w:cs="Arial"/>
            <w:sz w:val="24"/>
            <w:szCs w:val="24"/>
          </w:rPr>
          <w:t>https://www.kooth.com/</w:t>
        </w:r>
      </w:hyperlink>
      <w:r w:rsidR="00DF6D53" w:rsidRPr="00F97ADA">
        <w:rPr>
          <w:rFonts w:ascii="Arial" w:hAnsi="Arial" w:cs="Arial"/>
          <w:sz w:val="24"/>
          <w:szCs w:val="24"/>
        </w:rPr>
        <w:t xml:space="preserve"> </w:t>
      </w:r>
      <w:r w:rsidR="00DF6D53" w:rsidRPr="00F97ADA">
        <w:rPr>
          <w:rFonts w:ascii="Arial" w:hAnsi="Arial" w:cs="Arial"/>
        </w:rPr>
        <w:t>provides</w:t>
      </w:r>
      <w:r w:rsidR="00FC7D2A" w:rsidRPr="00F97ADA">
        <w:rPr>
          <w:rFonts w:ascii="Arial" w:hAnsi="Arial" w:cs="Arial"/>
        </w:rPr>
        <w:t xml:space="preserve"> system wide</w:t>
      </w:r>
      <w:r w:rsidR="00DF6D53" w:rsidRPr="00F97ADA">
        <w:rPr>
          <w:rFonts w:ascii="Arial" w:hAnsi="Arial" w:cs="Arial"/>
        </w:rPr>
        <w:t xml:space="preserve"> </w:t>
      </w:r>
      <w:r w:rsidR="00FC7D2A" w:rsidRPr="00F97ADA">
        <w:rPr>
          <w:rFonts w:ascii="Arial" w:hAnsi="Arial" w:cs="Arial"/>
        </w:rPr>
        <w:t xml:space="preserve">online </w:t>
      </w:r>
      <w:r w:rsidR="00323FB2" w:rsidRPr="00F97ADA">
        <w:rPr>
          <w:rFonts w:ascii="Arial" w:hAnsi="Arial" w:cs="Arial"/>
        </w:rPr>
        <w:t>support and counselling service</w:t>
      </w:r>
      <w:r w:rsidR="00F97ADA">
        <w:rPr>
          <w:rFonts w:ascii="Arial" w:hAnsi="Arial" w:cs="Arial"/>
        </w:rPr>
        <w:t>s</w:t>
      </w:r>
      <w:r w:rsidR="00323FB2" w:rsidRPr="00F97ADA">
        <w:rPr>
          <w:rFonts w:ascii="Arial" w:hAnsi="Arial" w:cs="Arial"/>
        </w:rPr>
        <w:t xml:space="preserve"> for young people aged 11-25 years, Webchat, 1:1 help and LGBTQIA+ young people’s forum</w:t>
      </w:r>
      <w:r w:rsidR="00FC7D2A" w:rsidRPr="00F97ADA">
        <w:rPr>
          <w:rFonts w:ascii="Arial" w:hAnsi="Arial" w:cs="Arial"/>
        </w:rPr>
        <w:t xml:space="preserve">. </w:t>
      </w:r>
    </w:p>
    <w:p w14:paraId="24808D9D" w14:textId="77777777" w:rsidR="00A92CF4" w:rsidRDefault="00A92CF4" w:rsidP="00A92CF4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</w:p>
    <w:p w14:paraId="7D0F9C11" w14:textId="582DBE1E" w:rsidR="348B244E" w:rsidRDefault="348B244E" w:rsidP="348B244E">
      <w:pPr>
        <w:pStyle w:val="NormalWeb"/>
        <w:shd w:val="clear" w:color="auto" w:fill="FFFFFF" w:themeFill="background1"/>
        <w:rPr>
          <w:rFonts w:ascii="Arial" w:hAnsi="Arial" w:cs="Arial"/>
        </w:rPr>
      </w:pPr>
    </w:p>
    <w:p w14:paraId="7B513850" w14:textId="3DE535E8" w:rsidR="0789539C" w:rsidRDefault="0789539C" w:rsidP="348B244E">
      <w:pPr>
        <w:pStyle w:val="NormalWeb"/>
        <w:shd w:val="clear" w:color="auto" w:fill="FFFFFF" w:themeFill="background1"/>
      </w:pPr>
      <w:r>
        <w:rPr>
          <w:noProof/>
        </w:rPr>
        <w:drawing>
          <wp:inline distT="0" distB="0" distL="0" distR="0" wp14:anchorId="794FB840" wp14:editId="3EC40D9C">
            <wp:extent cx="1450974" cy="1255885"/>
            <wp:effectExtent l="0" t="0" r="0" b="0"/>
            <wp:docPr id="1446298256" name="Picture 144629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4" cy="125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3EB19" w14:textId="1D889619" w:rsidR="00812814" w:rsidRPr="00812814" w:rsidRDefault="00812814" w:rsidP="348B244E">
      <w:pPr>
        <w:pStyle w:val="NormalWeb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348B244E">
        <w:rPr>
          <w:rFonts w:ascii="Arial" w:hAnsi="Arial" w:cs="Arial"/>
        </w:rPr>
        <w:t>Dr Clare Harris</w:t>
      </w:r>
    </w:p>
    <w:p w14:paraId="23BEF3E1" w14:textId="77777777" w:rsidR="00812814" w:rsidRPr="00812814" w:rsidRDefault="00812814" w:rsidP="00812814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812814">
        <w:rPr>
          <w:rFonts w:ascii="Arial" w:hAnsi="Arial" w:cs="Arial"/>
        </w:rPr>
        <w:t>Clinical Director for Children and Young People HIOW ICB</w:t>
      </w:r>
    </w:p>
    <w:p w14:paraId="6F9EB163" w14:textId="77777777" w:rsidR="00812814" w:rsidRPr="00812814" w:rsidRDefault="00812814" w:rsidP="00812814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812814">
        <w:rPr>
          <w:rFonts w:ascii="Arial" w:hAnsi="Arial" w:cs="Arial"/>
        </w:rPr>
        <w:t>Named GP for Child Safeguarding Hampshire</w:t>
      </w:r>
    </w:p>
    <w:p w14:paraId="36081B13" w14:textId="77777777" w:rsidR="00812814" w:rsidRPr="00812814" w:rsidRDefault="00812814" w:rsidP="00812814">
      <w:pPr>
        <w:pStyle w:val="NormalWeb"/>
        <w:shd w:val="clear" w:color="auto" w:fill="FFFFFF"/>
        <w:rPr>
          <w:rFonts w:ascii="Arial" w:hAnsi="Arial" w:cs="Arial"/>
          <w:sz w:val="28"/>
          <w:szCs w:val="28"/>
        </w:rPr>
      </w:pPr>
      <w:r w:rsidRPr="00812814">
        <w:rPr>
          <w:rFonts w:ascii="Arial" w:hAnsi="Arial" w:cs="Arial"/>
        </w:rPr>
        <w:t>NHS Hampshire and Isle of Wight Integrated Care Board</w:t>
      </w:r>
    </w:p>
    <w:p w14:paraId="7CBAFF61" w14:textId="77777777" w:rsidR="00812814" w:rsidRPr="00A92CF4" w:rsidRDefault="00812814" w:rsidP="00A92CF4">
      <w:pPr>
        <w:spacing w:before="100" w:beforeAutospacing="1" w:after="100" w:afterAutospacing="1"/>
        <w:rPr>
          <w:rStyle w:val="Strong"/>
          <w:rFonts w:ascii="Arial" w:hAnsi="Arial" w:cs="Arial"/>
          <w:b w:val="0"/>
          <w:bCs w:val="0"/>
          <w:sz w:val="24"/>
          <w:szCs w:val="24"/>
          <w:u w:val="single"/>
        </w:rPr>
      </w:pPr>
    </w:p>
    <w:sectPr w:rsidR="00812814" w:rsidRPr="00A92CF4" w:rsidSect="00BD43FB">
      <w:footerReference w:type="default" r:id="rId20"/>
      <w:headerReference w:type="first" r:id="rId21"/>
      <w:footerReference w:type="first" r:id="rId22"/>
      <w:pgSz w:w="11906" w:h="16838"/>
      <w:pgMar w:top="1440" w:right="1080" w:bottom="1440" w:left="1080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816B" w14:textId="77777777" w:rsidR="008509CF" w:rsidRDefault="008509CF" w:rsidP="00BB10C9">
      <w:pPr>
        <w:spacing w:after="0" w:line="240" w:lineRule="auto"/>
      </w:pPr>
      <w:r>
        <w:separator/>
      </w:r>
    </w:p>
  </w:endnote>
  <w:endnote w:type="continuationSeparator" w:id="0">
    <w:p w14:paraId="1DFB45CD" w14:textId="77777777" w:rsidR="008509CF" w:rsidRDefault="008509CF" w:rsidP="00BB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4B6A" w14:textId="6E15064E" w:rsidR="009F283A" w:rsidRDefault="00AB0434" w:rsidP="00AB0434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4934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DF9A6" w14:textId="49787487" w:rsidR="00AB0434" w:rsidRDefault="00AB04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C1EA64" w14:textId="77777777" w:rsidR="005A4C55" w:rsidRDefault="005A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38C8" w14:textId="77777777" w:rsidR="008509CF" w:rsidRDefault="008509CF" w:rsidP="00BB10C9">
      <w:pPr>
        <w:spacing w:after="0" w:line="240" w:lineRule="auto"/>
      </w:pPr>
      <w:r>
        <w:separator/>
      </w:r>
    </w:p>
  </w:footnote>
  <w:footnote w:type="continuationSeparator" w:id="0">
    <w:p w14:paraId="7CE17113" w14:textId="77777777" w:rsidR="008509CF" w:rsidRDefault="008509CF" w:rsidP="00BB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15695" w14:textId="09EF51D0" w:rsidR="00BB10C9" w:rsidRDefault="00031F69" w:rsidP="00031F69">
    <w:pPr>
      <w:pStyle w:val="Header"/>
      <w:ind w:left="720"/>
      <w:jc w:val="right"/>
    </w:pPr>
    <w:r>
      <w:rPr>
        <w:noProof/>
      </w:rPr>
      <w:drawing>
        <wp:inline distT="0" distB="0" distL="0" distR="0" wp14:anchorId="09BE85C2" wp14:editId="6D1E245D">
          <wp:extent cx="3038475" cy="1009650"/>
          <wp:effectExtent l="0" t="0" r="9525" b="0"/>
          <wp:docPr id="3421737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4326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38475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1BB4"/>
    <w:multiLevelType w:val="multilevel"/>
    <w:tmpl w:val="DE806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56E88"/>
    <w:multiLevelType w:val="multilevel"/>
    <w:tmpl w:val="6E88C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C416C"/>
    <w:multiLevelType w:val="hybridMultilevel"/>
    <w:tmpl w:val="91423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E739D"/>
    <w:multiLevelType w:val="multilevel"/>
    <w:tmpl w:val="1F3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70D06"/>
    <w:multiLevelType w:val="hybridMultilevel"/>
    <w:tmpl w:val="B58424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F445F"/>
    <w:multiLevelType w:val="hybridMultilevel"/>
    <w:tmpl w:val="3102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514D"/>
    <w:multiLevelType w:val="hybridMultilevel"/>
    <w:tmpl w:val="78CEF90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46542"/>
    <w:multiLevelType w:val="hybridMultilevel"/>
    <w:tmpl w:val="726E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A589E"/>
    <w:multiLevelType w:val="hybridMultilevel"/>
    <w:tmpl w:val="81E6C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F06B3"/>
    <w:multiLevelType w:val="multilevel"/>
    <w:tmpl w:val="7868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D301B"/>
    <w:multiLevelType w:val="hybridMultilevel"/>
    <w:tmpl w:val="5C14E0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C778E"/>
    <w:multiLevelType w:val="multilevel"/>
    <w:tmpl w:val="A14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472281">
    <w:abstractNumId w:val="2"/>
  </w:num>
  <w:num w:numId="2" w16cid:durableId="1759790198">
    <w:abstractNumId w:val="8"/>
  </w:num>
  <w:num w:numId="3" w16cid:durableId="387456873">
    <w:abstractNumId w:val="10"/>
  </w:num>
  <w:num w:numId="4" w16cid:durableId="1527210016">
    <w:abstractNumId w:val="4"/>
  </w:num>
  <w:num w:numId="5" w16cid:durableId="1290942059">
    <w:abstractNumId w:val="11"/>
  </w:num>
  <w:num w:numId="6" w16cid:durableId="330645644">
    <w:abstractNumId w:val="1"/>
  </w:num>
  <w:num w:numId="7" w16cid:durableId="745495669">
    <w:abstractNumId w:val="0"/>
  </w:num>
  <w:num w:numId="8" w16cid:durableId="1704164467">
    <w:abstractNumId w:val="7"/>
  </w:num>
  <w:num w:numId="9" w16cid:durableId="910580282">
    <w:abstractNumId w:val="5"/>
  </w:num>
  <w:num w:numId="10" w16cid:durableId="937324989">
    <w:abstractNumId w:val="3"/>
  </w:num>
  <w:num w:numId="11" w16cid:durableId="1984115783">
    <w:abstractNumId w:val="9"/>
  </w:num>
  <w:num w:numId="12" w16cid:durableId="1350446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48"/>
    <w:rsid w:val="00001643"/>
    <w:rsid w:val="00015033"/>
    <w:rsid w:val="00015612"/>
    <w:rsid w:val="00031F69"/>
    <w:rsid w:val="00032548"/>
    <w:rsid w:val="00035001"/>
    <w:rsid w:val="00047DD9"/>
    <w:rsid w:val="00052B0A"/>
    <w:rsid w:val="00070FB1"/>
    <w:rsid w:val="00086459"/>
    <w:rsid w:val="000B5936"/>
    <w:rsid w:val="000C29BF"/>
    <w:rsid w:val="000D3753"/>
    <w:rsid w:val="000F045B"/>
    <w:rsid w:val="00184F72"/>
    <w:rsid w:val="001A504F"/>
    <w:rsid w:val="001C10A9"/>
    <w:rsid w:val="001C3DA5"/>
    <w:rsid w:val="001C437E"/>
    <w:rsid w:val="001C4789"/>
    <w:rsid w:val="001E3848"/>
    <w:rsid w:val="001F4159"/>
    <w:rsid w:val="00225792"/>
    <w:rsid w:val="002347B4"/>
    <w:rsid w:val="00235B27"/>
    <w:rsid w:val="00282191"/>
    <w:rsid w:val="002F19E3"/>
    <w:rsid w:val="0031302C"/>
    <w:rsid w:val="00323FB2"/>
    <w:rsid w:val="00345606"/>
    <w:rsid w:val="0039200A"/>
    <w:rsid w:val="003B5001"/>
    <w:rsid w:val="003C279A"/>
    <w:rsid w:val="003F0DF1"/>
    <w:rsid w:val="004763D4"/>
    <w:rsid w:val="004A50C3"/>
    <w:rsid w:val="004D5550"/>
    <w:rsid w:val="00507884"/>
    <w:rsid w:val="00551C3D"/>
    <w:rsid w:val="005610BF"/>
    <w:rsid w:val="0058526F"/>
    <w:rsid w:val="005A0A2A"/>
    <w:rsid w:val="005A0BB4"/>
    <w:rsid w:val="005A0E3D"/>
    <w:rsid w:val="005A4C55"/>
    <w:rsid w:val="005C4571"/>
    <w:rsid w:val="005D7AAE"/>
    <w:rsid w:val="005E00BD"/>
    <w:rsid w:val="005F785E"/>
    <w:rsid w:val="006252A4"/>
    <w:rsid w:val="0065020A"/>
    <w:rsid w:val="0065504F"/>
    <w:rsid w:val="00655126"/>
    <w:rsid w:val="00681D8E"/>
    <w:rsid w:val="006B1BB3"/>
    <w:rsid w:val="006B2A0D"/>
    <w:rsid w:val="006C4DB8"/>
    <w:rsid w:val="00717998"/>
    <w:rsid w:val="00725830"/>
    <w:rsid w:val="00727DC3"/>
    <w:rsid w:val="00773C60"/>
    <w:rsid w:val="0077640D"/>
    <w:rsid w:val="007F6810"/>
    <w:rsid w:val="00812814"/>
    <w:rsid w:val="008130E3"/>
    <w:rsid w:val="00823145"/>
    <w:rsid w:val="00830D81"/>
    <w:rsid w:val="008463B4"/>
    <w:rsid w:val="008509CF"/>
    <w:rsid w:val="008627CE"/>
    <w:rsid w:val="008722CE"/>
    <w:rsid w:val="008A64BD"/>
    <w:rsid w:val="008D22E8"/>
    <w:rsid w:val="008F0268"/>
    <w:rsid w:val="0090077B"/>
    <w:rsid w:val="00936C3A"/>
    <w:rsid w:val="0094148E"/>
    <w:rsid w:val="00950685"/>
    <w:rsid w:val="0096268E"/>
    <w:rsid w:val="00993FEF"/>
    <w:rsid w:val="009F283A"/>
    <w:rsid w:val="009F747C"/>
    <w:rsid w:val="00A15124"/>
    <w:rsid w:val="00A173FF"/>
    <w:rsid w:val="00A23FBC"/>
    <w:rsid w:val="00A44B45"/>
    <w:rsid w:val="00A60E0B"/>
    <w:rsid w:val="00A63E49"/>
    <w:rsid w:val="00A739CC"/>
    <w:rsid w:val="00A92CF4"/>
    <w:rsid w:val="00AA36B6"/>
    <w:rsid w:val="00AA5F58"/>
    <w:rsid w:val="00AB0434"/>
    <w:rsid w:val="00AC054B"/>
    <w:rsid w:val="00AC3C0E"/>
    <w:rsid w:val="00AD3939"/>
    <w:rsid w:val="00AE3DF4"/>
    <w:rsid w:val="00AF1BDA"/>
    <w:rsid w:val="00B06078"/>
    <w:rsid w:val="00B138E1"/>
    <w:rsid w:val="00B16229"/>
    <w:rsid w:val="00B2263D"/>
    <w:rsid w:val="00B51C9A"/>
    <w:rsid w:val="00B6456D"/>
    <w:rsid w:val="00B823D7"/>
    <w:rsid w:val="00BB10C9"/>
    <w:rsid w:val="00BC7179"/>
    <w:rsid w:val="00BD43FB"/>
    <w:rsid w:val="00BF35AC"/>
    <w:rsid w:val="00C21570"/>
    <w:rsid w:val="00C4471F"/>
    <w:rsid w:val="00C64186"/>
    <w:rsid w:val="00C913A6"/>
    <w:rsid w:val="00CA2FD3"/>
    <w:rsid w:val="00CB7EE6"/>
    <w:rsid w:val="00CC3591"/>
    <w:rsid w:val="00D03619"/>
    <w:rsid w:val="00D20451"/>
    <w:rsid w:val="00D27A84"/>
    <w:rsid w:val="00D5265C"/>
    <w:rsid w:val="00D62961"/>
    <w:rsid w:val="00D67A2F"/>
    <w:rsid w:val="00D97029"/>
    <w:rsid w:val="00DC6640"/>
    <w:rsid w:val="00DC698C"/>
    <w:rsid w:val="00DE1939"/>
    <w:rsid w:val="00DE1E69"/>
    <w:rsid w:val="00DE269A"/>
    <w:rsid w:val="00DF01B7"/>
    <w:rsid w:val="00DF162E"/>
    <w:rsid w:val="00DF6D53"/>
    <w:rsid w:val="00E22C1B"/>
    <w:rsid w:val="00E42BD0"/>
    <w:rsid w:val="00E55E9C"/>
    <w:rsid w:val="00E65105"/>
    <w:rsid w:val="00E80ED0"/>
    <w:rsid w:val="00EE0187"/>
    <w:rsid w:val="00EF4A62"/>
    <w:rsid w:val="00F05B4D"/>
    <w:rsid w:val="00F24C38"/>
    <w:rsid w:val="00F5030E"/>
    <w:rsid w:val="00F77D61"/>
    <w:rsid w:val="00F97ADA"/>
    <w:rsid w:val="00FC57B5"/>
    <w:rsid w:val="00FC7D2A"/>
    <w:rsid w:val="00FE57EC"/>
    <w:rsid w:val="0789539C"/>
    <w:rsid w:val="1F1BF016"/>
    <w:rsid w:val="2D6C52B1"/>
    <w:rsid w:val="31593ECB"/>
    <w:rsid w:val="348B244E"/>
    <w:rsid w:val="3BE06598"/>
    <w:rsid w:val="48FB3BAF"/>
    <w:rsid w:val="4C9CA6E0"/>
    <w:rsid w:val="5077D995"/>
    <w:rsid w:val="5BEE044A"/>
    <w:rsid w:val="5EB9E88E"/>
    <w:rsid w:val="6554EBFA"/>
    <w:rsid w:val="686717C4"/>
    <w:rsid w:val="6CC5E023"/>
    <w:rsid w:val="6F35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8B3A34"/>
  <w15:chartTrackingRefBased/>
  <w15:docId w15:val="{11B99660-D76E-489E-8805-B03927DA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5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2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5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5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5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5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5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5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5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5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254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54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5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5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5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5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5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5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5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5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5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5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5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5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548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39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9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739CC"/>
    <w:rPr>
      <w:b/>
      <w:bCs/>
    </w:rPr>
  </w:style>
  <w:style w:type="paragraph" w:customStyle="1" w:styleId="Default">
    <w:name w:val="Default"/>
    <w:rsid w:val="003130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F0D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C9"/>
  </w:style>
  <w:style w:type="paragraph" w:styleId="Footer">
    <w:name w:val="footer"/>
    <w:basedOn w:val="Normal"/>
    <w:link w:val="FooterChar"/>
    <w:uiPriority w:val="99"/>
    <w:unhideWhenUsed/>
    <w:rsid w:val="00BB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C9"/>
  </w:style>
  <w:style w:type="character" w:styleId="CommentReference">
    <w:name w:val="annotation reference"/>
    <w:basedOn w:val="DefaultParagraphFont"/>
    <w:uiPriority w:val="99"/>
    <w:semiHidden/>
    <w:unhideWhenUsed/>
    <w:rsid w:val="00392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00A"/>
    <w:rPr>
      <w:b/>
      <w:bCs/>
      <w:sz w:val="20"/>
      <w:szCs w:val="20"/>
    </w:rPr>
  </w:style>
  <w:style w:type="paragraph" w:styleId="NoSpacing">
    <w:name w:val="No Spacing"/>
    <w:uiPriority w:val="1"/>
    <w:qFormat/>
    <w:rsid w:val="00F24C38"/>
    <w:pPr>
      <w:spacing w:after="0" w:line="240" w:lineRule="auto"/>
    </w:pPr>
  </w:style>
  <w:style w:type="paragraph" w:styleId="Revision">
    <w:name w:val="Revision"/>
    <w:hidden/>
    <w:uiPriority w:val="99"/>
    <w:semiHidden/>
    <w:rsid w:val="003B500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12814"/>
    <w:pPr>
      <w:spacing w:after="0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dengemcsu.nhs.uk/services/clinical-support/national-referral-support-service-for-the-nhs-gender-incongruence-service-for-children-and-young-people/" TargetMode="External"/><Relationship Id="rId13" Type="http://schemas.openxmlformats.org/officeDocument/2006/relationships/hyperlink" Target="https://www.what0-18.nhs.uk/professionals/gp-primary-care-staff/children-and-young-people-gender-identity-and-sexual-orientation" TargetMode="External"/><Relationship Id="rId18" Type="http://schemas.openxmlformats.org/officeDocument/2006/relationships/hyperlink" Target="https://www.kooth.com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what0-18.nhs.uk/" TargetMode="External"/><Relationship Id="rId17" Type="http://schemas.openxmlformats.org/officeDocument/2006/relationships/hyperlink" Target="https://www.minded.org.uk/catalogue/TileVi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spcc.org.uk/keeping-children-safe/sex-relationships/gender-identity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cgp.org.uk/representing-you/policy-areas/transgender-car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cpsych.ac.uk/docs/default-source/improving-care/better-mh-policy/position-statements/ps02_18.pdf?sfvrsn=af4d4aad_12?sfvrsn=af4d4aad_12?sfvrsn=af4d4aad_12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www.rcpsych.ac.uk/docs/default-source/improving-care/better-mh-policy/position-statements/ps02_18.pdf?sfvrsn=af4d4aad_12?sfvrsn=af4d4aad_12?sfvrsn=af4d4aad_12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5DCEF-555A-4945-9252-161960D5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771</Words>
  <Characters>4399</Characters>
  <Application>Microsoft Office Word</Application>
  <DocSecurity>4</DocSecurity>
  <Lines>36</Lines>
  <Paragraphs>10</Paragraphs>
  <ScaleCrop>false</ScaleCrop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 Debbie</dc:creator>
  <cp:keywords/>
  <dc:description/>
  <cp:lastModifiedBy>Woods Debbie</cp:lastModifiedBy>
  <cp:revision>2</cp:revision>
  <cp:lastPrinted>2024-07-24T11:20:00Z</cp:lastPrinted>
  <dcterms:created xsi:type="dcterms:W3CDTF">2024-07-24T15:48:00Z</dcterms:created>
  <dcterms:modified xsi:type="dcterms:W3CDTF">2024-07-24T15:48:00Z</dcterms:modified>
</cp:coreProperties>
</file>