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C29" w14:textId="77777777" w:rsidR="004B1304" w:rsidRPr="002C6759" w:rsidRDefault="004B1304" w:rsidP="004B1304">
      <w:pPr>
        <w:spacing w:after="240" w:line="240" w:lineRule="auto"/>
        <w:rPr>
          <w:b/>
          <w:sz w:val="24"/>
          <w:szCs w:val="24"/>
        </w:rPr>
      </w:pPr>
      <w:r w:rsidRPr="002C6759">
        <w:rPr>
          <w:b/>
          <w:sz w:val="24"/>
          <w:szCs w:val="24"/>
        </w:rPr>
        <w:t xml:space="preserve">Southampton Serious Mental Illness Physical Health Checks (SMI-PH) </w:t>
      </w:r>
    </w:p>
    <w:p w14:paraId="0B7BA90E" w14:textId="77777777" w:rsidR="00A90EFD" w:rsidRDefault="00A90EFD" w:rsidP="00A90EFD">
      <w:pPr>
        <w:spacing w:after="240" w:line="240" w:lineRule="auto"/>
      </w:pPr>
      <w:r w:rsidRPr="00407359">
        <w:rPr>
          <w:rFonts w:cs="Arial"/>
        </w:rPr>
        <w:t xml:space="preserve">People with SMI are at greater risk of poor physical health and have higher premature mortality than the general population. </w:t>
      </w:r>
      <w:r>
        <w:t xml:space="preserve">People with SMI die on average 15-20 years earlier due to cardiovascular disease, type 2 </w:t>
      </w:r>
      <w:proofErr w:type="gramStart"/>
      <w:r>
        <w:t>diabetes</w:t>
      </w:r>
      <w:proofErr w:type="gramEnd"/>
      <w:r>
        <w:t xml:space="preserve"> and cancer.</w:t>
      </w:r>
    </w:p>
    <w:p w14:paraId="22112E7E" w14:textId="3A10AE7F" w:rsidR="00A90EFD" w:rsidRDefault="00A90EFD" w:rsidP="004B1304">
      <w:pPr>
        <w:spacing w:after="240" w:line="240" w:lineRule="auto"/>
      </w:pPr>
      <w:r>
        <w:t>Menu of existing p</w:t>
      </w:r>
      <w:r w:rsidRPr="000B12A2">
        <w:t xml:space="preserve">hysical </w:t>
      </w:r>
      <w:r>
        <w:t>h</w:t>
      </w:r>
      <w:r w:rsidRPr="000B12A2">
        <w:t>ealth</w:t>
      </w:r>
      <w:r>
        <w:t xml:space="preserve"> follow-up</w:t>
      </w:r>
      <w:r w:rsidRPr="000B12A2">
        <w:t xml:space="preserve"> interventions</w:t>
      </w:r>
      <w:r>
        <w:t xml:space="preserve"> available in Southampton </w:t>
      </w:r>
      <w:r w:rsidR="005B1186">
        <w:t>C</w:t>
      </w:r>
      <w:r>
        <w:t>ity</w:t>
      </w:r>
      <w:r w:rsidR="005B1186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6"/>
        <w:gridCol w:w="5386"/>
      </w:tblGrid>
      <w:tr w:rsidR="00A90EFD" w14:paraId="01B2DB1A" w14:textId="77777777" w:rsidTr="005B1186">
        <w:tc>
          <w:tcPr>
            <w:tcW w:w="3397" w:type="dxa"/>
            <w:shd w:val="clear" w:color="auto" w:fill="BDD6EE" w:themeFill="accent1" w:themeFillTint="66"/>
          </w:tcPr>
          <w:p w14:paraId="0831584A" w14:textId="77777777" w:rsidR="00A90EFD" w:rsidRPr="002C6759" w:rsidRDefault="00A90EFD" w:rsidP="00A90EFD">
            <w:p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Physical Health Check Element </w:t>
            </w:r>
          </w:p>
        </w:tc>
        <w:tc>
          <w:tcPr>
            <w:tcW w:w="11482" w:type="dxa"/>
            <w:gridSpan w:val="2"/>
            <w:shd w:val="clear" w:color="auto" w:fill="BDD6EE" w:themeFill="accent1" w:themeFillTint="66"/>
          </w:tcPr>
          <w:p w14:paraId="6814D16B" w14:textId="77777777" w:rsidR="00A90EFD" w:rsidRPr="002C6759" w:rsidRDefault="00A90EFD" w:rsidP="004B1304">
            <w:p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Follow-Up Intervention Available </w:t>
            </w:r>
          </w:p>
        </w:tc>
      </w:tr>
      <w:tr w:rsidR="001F7CB4" w14:paraId="68D1A36E" w14:textId="77777777" w:rsidTr="002C6759">
        <w:tc>
          <w:tcPr>
            <w:tcW w:w="3397" w:type="dxa"/>
          </w:tcPr>
          <w:p w14:paraId="458C3722" w14:textId="77777777" w:rsidR="001F7CB4" w:rsidRPr="002C6759" w:rsidRDefault="001F7CB4" w:rsidP="002C6759">
            <w:pPr>
              <w:pStyle w:val="ListParagraph"/>
              <w:numPr>
                <w:ilvl w:val="0"/>
                <w:numId w:val="22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Measurement of weight (BMI / BMI+waist circumference) </w:t>
            </w:r>
          </w:p>
          <w:p w14:paraId="2F2BE028" w14:textId="77777777" w:rsidR="001F7CB4" w:rsidRPr="002C6759" w:rsidRDefault="001F7CB4" w:rsidP="00723E94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B8E0284" w14:textId="42350E7A" w:rsidR="006F5724" w:rsidRDefault="00AC7FC7" w:rsidP="00CE44A4">
            <w:pPr>
              <w:spacing w:after="240"/>
            </w:pPr>
            <w:r>
              <w:t>Adult Weight Management Pathway attached providing details of the following:</w:t>
            </w:r>
          </w:p>
          <w:p w14:paraId="62B21146" w14:textId="5C23FF9B" w:rsidR="00AC7FC7" w:rsidRDefault="00AC7FC7" w:rsidP="00AC7FC7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Tier 1 Universal Intervention</w:t>
            </w:r>
          </w:p>
          <w:p w14:paraId="00470BFD" w14:textId="64AB7325" w:rsidR="00AC7FC7" w:rsidRDefault="00AC7FC7" w:rsidP="00AC7FC7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Tier 2 Weight Management Program</w:t>
            </w:r>
          </w:p>
          <w:p w14:paraId="5E54FC26" w14:textId="7D2C7634" w:rsidR="00AC7FC7" w:rsidRDefault="00AC7FC7" w:rsidP="00AC7FC7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Tier 3 Specialist Weight Management Service</w:t>
            </w:r>
          </w:p>
          <w:p w14:paraId="4E4C2270" w14:textId="3BAE0422" w:rsidR="00AC7FC7" w:rsidRDefault="00AC7FC7" w:rsidP="00AC7FC7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 xml:space="preserve">Tier 4 Surgical Intervention </w:t>
            </w:r>
          </w:p>
          <w:p w14:paraId="499474AB" w14:textId="4D448684" w:rsidR="00AC7FC7" w:rsidRDefault="00AC7FC7" w:rsidP="00CE44A4">
            <w:pPr>
              <w:spacing w:after="240"/>
            </w:pPr>
            <w:r>
              <w:object w:dxaOrig="1543" w:dyaOrig="1000" w14:anchorId="5F4F2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AcroExch.Document.DC" ShapeID="_x0000_i1025" DrawAspect="Icon" ObjectID="_1778918601" r:id="rId7"/>
              </w:object>
            </w:r>
          </w:p>
        </w:tc>
        <w:tc>
          <w:tcPr>
            <w:tcW w:w="5386" w:type="dxa"/>
            <w:vMerge w:val="restart"/>
          </w:tcPr>
          <w:p w14:paraId="5F4C9EB5" w14:textId="77777777" w:rsidR="001F7CB4" w:rsidRDefault="001F7CB4" w:rsidP="001F7CB4">
            <w:pPr>
              <w:spacing w:after="240"/>
            </w:pPr>
            <w:r>
              <w:t>Clinically, the interventions are similar for all abnormal results requiring support for lifestyle changes</w:t>
            </w:r>
            <w:r w:rsidR="006F5724">
              <w:t>. Weight management and increased physical activity will support all elements</w:t>
            </w:r>
            <w:r w:rsidR="00CE44A4">
              <w:t>.</w:t>
            </w:r>
          </w:p>
          <w:p w14:paraId="197176C0" w14:textId="00EE12CE" w:rsidR="00CE44A4" w:rsidRDefault="00CE44A4" w:rsidP="001F7CB4">
            <w:pPr>
              <w:spacing w:after="240"/>
            </w:pPr>
            <w:r>
              <w:t xml:space="preserve">There are additional small scale community support interventions such as health walks and opportunities to try short term activities through </w:t>
            </w:r>
            <w:r w:rsidR="005B1186">
              <w:t>VCSE,</w:t>
            </w:r>
            <w:r>
              <w:t xml:space="preserve"> </w:t>
            </w:r>
            <w:r w:rsidR="00A70DBD">
              <w:t xml:space="preserve">but these services have limited </w:t>
            </w:r>
            <w:r>
              <w:t>capacity</w:t>
            </w:r>
            <w:r w:rsidR="00A70DBD">
              <w:t>.</w:t>
            </w:r>
          </w:p>
          <w:p w14:paraId="05675805" w14:textId="1D9E53FF" w:rsidR="00647391" w:rsidRDefault="00AC7FC7" w:rsidP="00647391">
            <w:pPr>
              <w:spacing w:after="160" w:line="259" w:lineRule="auto"/>
            </w:pPr>
            <w:r w:rsidRPr="00AC7FC7">
              <w:t>Social prescribers and Health Coaches may also be able to support individual patients</w:t>
            </w:r>
            <w:r w:rsidR="0034277D">
              <w:t xml:space="preserve"> with lifestyle changes.</w:t>
            </w:r>
          </w:p>
          <w:p w14:paraId="122DE2ED" w14:textId="77777777" w:rsidR="00647391" w:rsidRDefault="00647391" w:rsidP="001F7CB4">
            <w:pPr>
              <w:spacing w:after="240"/>
            </w:pPr>
          </w:p>
          <w:p w14:paraId="30E553EE" w14:textId="77777777" w:rsidR="001F7CB4" w:rsidRDefault="001F7CB4" w:rsidP="001F7CB4">
            <w:pPr>
              <w:spacing w:after="240"/>
            </w:pPr>
          </w:p>
        </w:tc>
      </w:tr>
      <w:tr w:rsidR="001F7CB4" w14:paraId="2AA8BD1E" w14:textId="77777777" w:rsidTr="002C6759">
        <w:tc>
          <w:tcPr>
            <w:tcW w:w="3397" w:type="dxa"/>
          </w:tcPr>
          <w:p w14:paraId="4D77A839" w14:textId="77777777" w:rsidR="001F7CB4" w:rsidRPr="002C6759" w:rsidRDefault="001F7CB4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Blood pressure and pulse check </w:t>
            </w:r>
          </w:p>
          <w:p w14:paraId="027D76D1" w14:textId="77777777" w:rsidR="001F7CB4" w:rsidRPr="002C6759" w:rsidRDefault="001F7CB4" w:rsidP="00723E94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43D6D1" w14:textId="105A33FA" w:rsidR="001F7CB4" w:rsidRDefault="006F5724" w:rsidP="004B1304">
            <w:pPr>
              <w:spacing w:after="240"/>
            </w:pPr>
            <w:r>
              <w:t xml:space="preserve">Primary care lifestyle advice and medication as per national </w:t>
            </w:r>
            <w:r w:rsidR="004C5C59">
              <w:t>guidance.</w:t>
            </w:r>
          </w:p>
        </w:tc>
        <w:tc>
          <w:tcPr>
            <w:tcW w:w="5386" w:type="dxa"/>
            <w:vMerge/>
          </w:tcPr>
          <w:p w14:paraId="1F94CDD2" w14:textId="77777777" w:rsidR="001F7CB4" w:rsidRDefault="001F7CB4" w:rsidP="004B1304">
            <w:pPr>
              <w:spacing w:after="240"/>
            </w:pPr>
          </w:p>
        </w:tc>
      </w:tr>
      <w:tr w:rsidR="001F7CB4" w14:paraId="5F875F0D" w14:textId="77777777" w:rsidTr="002C6759">
        <w:tc>
          <w:tcPr>
            <w:tcW w:w="3397" w:type="dxa"/>
          </w:tcPr>
          <w:p w14:paraId="266BFAD9" w14:textId="77777777" w:rsidR="001F7CB4" w:rsidRPr="002C6759" w:rsidRDefault="001F7CB4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Blood lipid including cholesterol test </w:t>
            </w:r>
          </w:p>
          <w:p w14:paraId="17830D3C" w14:textId="77777777" w:rsidR="001F7CB4" w:rsidRPr="002C6759" w:rsidRDefault="001F7CB4" w:rsidP="00723E94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9F6554" w14:textId="6F88C6B9" w:rsidR="001F7CB4" w:rsidRDefault="006F5724" w:rsidP="004B1304">
            <w:pPr>
              <w:spacing w:after="240"/>
            </w:pPr>
            <w:r>
              <w:t>Primary care dietary brief intervention and statin medication as per national guidance</w:t>
            </w:r>
            <w:r w:rsidR="004C5C59">
              <w:t>.</w:t>
            </w:r>
          </w:p>
        </w:tc>
        <w:tc>
          <w:tcPr>
            <w:tcW w:w="5386" w:type="dxa"/>
            <w:vMerge/>
          </w:tcPr>
          <w:p w14:paraId="12FF19A4" w14:textId="77777777" w:rsidR="001F7CB4" w:rsidRDefault="001F7CB4" w:rsidP="004B1304">
            <w:pPr>
              <w:spacing w:after="240"/>
            </w:pPr>
          </w:p>
        </w:tc>
      </w:tr>
      <w:tr w:rsidR="001F7CB4" w14:paraId="24C4EA4D" w14:textId="77777777" w:rsidTr="002C6759">
        <w:tc>
          <w:tcPr>
            <w:tcW w:w="3397" w:type="dxa"/>
          </w:tcPr>
          <w:p w14:paraId="67565195" w14:textId="77777777" w:rsidR="001F7CB4" w:rsidRPr="002C6759" w:rsidRDefault="001F7CB4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>Blood glucose test/ HbA1c</w:t>
            </w:r>
          </w:p>
          <w:p w14:paraId="7584B57D" w14:textId="77777777" w:rsidR="001F7CB4" w:rsidRPr="002C6759" w:rsidRDefault="001F7CB4" w:rsidP="00723E94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55530E" w14:textId="2F41AC27" w:rsidR="004C5C59" w:rsidRDefault="004C5C59" w:rsidP="004C5C59">
            <w:pPr>
              <w:spacing w:after="240"/>
            </w:pPr>
            <w:r>
              <w:t>NHS Diabetes Prevention Programme for all new Pre-diabetes/impaired fasting glucose – this is a national service.</w:t>
            </w:r>
          </w:p>
          <w:p w14:paraId="7F337FFB" w14:textId="4EE9F7A5" w:rsidR="00AC7FC7" w:rsidRDefault="004C5C59" w:rsidP="004C5C59">
            <w:pPr>
              <w:spacing w:after="240"/>
            </w:pPr>
            <w:r>
              <w:t xml:space="preserve">For newly diagnosed Type 2 diabetes patients can </w:t>
            </w:r>
            <w:proofErr w:type="gramStart"/>
            <w:r>
              <w:t>be referred</w:t>
            </w:r>
            <w:proofErr w:type="gramEnd"/>
            <w:r>
              <w:t xml:space="preserve"> for weight management interventions, please refer to the Adult Weight Management Pathway above.</w:t>
            </w:r>
          </w:p>
        </w:tc>
        <w:tc>
          <w:tcPr>
            <w:tcW w:w="5386" w:type="dxa"/>
            <w:vMerge/>
          </w:tcPr>
          <w:p w14:paraId="75C1BEE2" w14:textId="77777777" w:rsidR="001F7CB4" w:rsidRDefault="001F7CB4" w:rsidP="004B1304">
            <w:pPr>
              <w:spacing w:after="240"/>
            </w:pPr>
          </w:p>
        </w:tc>
      </w:tr>
      <w:tr w:rsidR="001F7CB4" w14:paraId="733DB219" w14:textId="77777777" w:rsidTr="002C6759">
        <w:tc>
          <w:tcPr>
            <w:tcW w:w="3397" w:type="dxa"/>
          </w:tcPr>
          <w:p w14:paraId="315D4BBD" w14:textId="77777777" w:rsidR="001F7CB4" w:rsidRPr="002C6759" w:rsidRDefault="001F7CB4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lastRenderedPageBreak/>
              <w:t xml:space="preserve">An assessment of nutritional status, </w:t>
            </w:r>
            <w:proofErr w:type="gramStart"/>
            <w:r w:rsidRPr="002C6759">
              <w:rPr>
                <w:b/>
                <w:sz w:val="24"/>
                <w:szCs w:val="24"/>
              </w:rPr>
              <w:t>diet</w:t>
            </w:r>
            <w:proofErr w:type="gramEnd"/>
            <w:r w:rsidRPr="002C6759">
              <w:rPr>
                <w:b/>
                <w:sz w:val="24"/>
                <w:szCs w:val="24"/>
              </w:rPr>
              <w:t xml:space="preserve"> and level of physical activity  </w:t>
            </w:r>
          </w:p>
        </w:tc>
        <w:tc>
          <w:tcPr>
            <w:tcW w:w="6096" w:type="dxa"/>
          </w:tcPr>
          <w:p w14:paraId="632F5B3D" w14:textId="05761D27" w:rsidR="006F5724" w:rsidRDefault="006F5724" w:rsidP="006F5724">
            <w:pPr>
              <w:spacing w:after="240"/>
            </w:pPr>
            <w:r>
              <w:t xml:space="preserve">Saints4Sports: VCSE for physical activity providing access to exercise for people who are homeless, have substance </w:t>
            </w:r>
            <w:r w:rsidR="0034277D">
              <w:t xml:space="preserve">use disorder </w:t>
            </w:r>
            <w:r>
              <w:t xml:space="preserve">or are part of the criminal justice system. Feedback from </w:t>
            </w:r>
            <w:proofErr w:type="gramStart"/>
            <w:r>
              <w:t>some</w:t>
            </w:r>
            <w:proofErr w:type="gramEnd"/>
            <w:r>
              <w:t xml:space="preserve"> SMI patients is that anxiety contacting/ attending due to range of people supported</w:t>
            </w:r>
            <w:r w:rsidR="004C5C59">
              <w:t>.</w:t>
            </w:r>
          </w:p>
        </w:tc>
        <w:tc>
          <w:tcPr>
            <w:tcW w:w="5386" w:type="dxa"/>
            <w:vMerge/>
          </w:tcPr>
          <w:p w14:paraId="2ACC1B3D" w14:textId="77777777" w:rsidR="001F7CB4" w:rsidRDefault="001F7CB4" w:rsidP="004B1304">
            <w:pPr>
              <w:spacing w:after="240"/>
            </w:pPr>
          </w:p>
        </w:tc>
      </w:tr>
      <w:tr w:rsidR="00A90EFD" w14:paraId="42033ACC" w14:textId="77777777" w:rsidTr="002C6759">
        <w:tc>
          <w:tcPr>
            <w:tcW w:w="3397" w:type="dxa"/>
          </w:tcPr>
          <w:p w14:paraId="02CE28B8" w14:textId="77777777" w:rsidR="00A90EFD" w:rsidRPr="002C6759" w:rsidRDefault="00A90EFD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An assessment of alcohol consumption </w:t>
            </w:r>
          </w:p>
          <w:p w14:paraId="6ABAAB9A" w14:textId="77777777" w:rsidR="0034277D" w:rsidRPr="002C6759" w:rsidRDefault="0034277D" w:rsidP="0034277D">
            <w:pPr>
              <w:pStyle w:val="ListParagraph"/>
              <w:spacing w:after="240" w:line="259" w:lineRule="auto"/>
              <w:ind w:left="360"/>
              <w:rPr>
                <w:b/>
                <w:sz w:val="24"/>
                <w:szCs w:val="24"/>
              </w:rPr>
            </w:pPr>
          </w:p>
          <w:p w14:paraId="02F815DC" w14:textId="3B284EDD" w:rsidR="0034277D" w:rsidRPr="002C6759" w:rsidRDefault="0034277D" w:rsidP="0034277D">
            <w:pPr>
              <w:pStyle w:val="ListParagraph"/>
              <w:spacing w:after="240" w:line="259" w:lineRule="auto"/>
              <w:ind w:left="360"/>
              <w:rPr>
                <w:b/>
                <w:i/>
                <w:iCs/>
                <w:sz w:val="24"/>
                <w:szCs w:val="24"/>
              </w:rPr>
            </w:pPr>
            <w:r w:rsidRPr="002C6759">
              <w:rPr>
                <w:bCs/>
                <w:i/>
                <w:iCs/>
                <w:sz w:val="24"/>
                <w:szCs w:val="24"/>
              </w:rPr>
              <w:t>and</w:t>
            </w:r>
            <w:r w:rsidRPr="002C6759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14:paraId="6BE85980" w14:textId="77777777" w:rsidR="0034277D" w:rsidRPr="002C6759" w:rsidRDefault="0034277D" w:rsidP="0034277D">
            <w:pPr>
              <w:pStyle w:val="ListParagraph"/>
              <w:spacing w:after="240" w:line="259" w:lineRule="auto"/>
              <w:ind w:left="360"/>
              <w:rPr>
                <w:b/>
                <w:sz w:val="24"/>
                <w:szCs w:val="24"/>
              </w:rPr>
            </w:pPr>
          </w:p>
          <w:p w14:paraId="010ED8EC" w14:textId="1B24B82F" w:rsidR="0034277D" w:rsidRPr="002C6759" w:rsidRDefault="0034277D" w:rsidP="0034277D">
            <w:pPr>
              <w:pStyle w:val="ListParagraph"/>
              <w:numPr>
                <w:ilvl w:val="0"/>
                <w:numId w:val="3"/>
              </w:numPr>
              <w:spacing w:after="240" w:line="259" w:lineRule="auto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>An assessment of use of illicit substance / non prescribed drugs</w:t>
            </w:r>
          </w:p>
          <w:p w14:paraId="20E6591A" w14:textId="77777777" w:rsidR="0034277D" w:rsidRPr="002C6759" w:rsidRDefault="0034277D" w:rsidP="0034277D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3FF50333" w14:textId="16B0B278" w:rsidR="00A90EFD" w:rsidRPr="00367186" w:rsidRDefault="00723E94" w:rsidP="00F76313">
            <w:pPr>
              <w:spacing w:after="240"/>
              <w:rPr>
                <w:b/>
                <w:bCs/>
              </w:rPr>
            </w:pPr>
            <w:r>
              <w:t xml:space="preserve">Change, Grow, Live (CGL) drug and alcohol harm reduction and recovery support </w:t>
            </w:r>
            <w:r w:rsidR="00367186">
              <w:t xml:space="preserve">for </w:t>
            </w:r>
            <w:r w:rsidR="00367186" w:rsidRPr="00367186">
              <w:rPr>
                <w:b/>
                <w:bCs/>
              </w:rPr>
              <w:t xml:space="preserve">adults 25 years and older </w:t>
            </w:r>
          </w:p>
          <w:p w14:paraId="75AD6604" w14:textId="28515F57" w:rsidR="00367186" w:rsidRDefault="00367186" w:rsidP="00367186">
            <w:pPr>
              <w:spacing w:after="240"/>
            </w:pPr>
            <w:r w:rsidRPr="00367186">
              <w:rPr>
                <w:b/>
                <w:bCs/>
              </w:rPr>
              <w:t>CGL Alcohol Support Line</w:t>
            </w:r>
            <w:r>
              <w:t xml:space="preserve"> - for anyone worried about alcohol, to help you understand the risks of alcohol, set achievable </w:t>
            </w:r>
            <w:proofErr w:type="gramStart"/>
            <w:r>
              <w:t>goals</w:t>
            </w:r>
            <w:proofErr w:type="gramEnd"/>
            <w:r>
              <w:t xml:space="preserve"> and help you take control. Telephone: 023 8200 2764</w:t>
            </w:r>
          </w:p>
          <w:p w14:paraId="11A0F4BF" w14:textId="5510FEF6" w:rsidR="00367186" w:rsidRDefault="00367186" w:rsidP="00367186">
            <w:pPr>
              <w:spacing w:after="240"/>
            </w:pPr>
            <w:r w:rsidRPr="00367186">
              <w:rPr>
                <w:b/>
                <w:bCs/>
              </w:rPr>
              <w:t>Southampton Drug and Alcohol Support Services</w:t>
            </w:r>
            <w:r>
              <w:t xml:space="preserve"> - information, brief intervention, </w:t>
            </w:r>
            <w:proofErr w:type="gramStart"/>
            <w:r>
              <w:t>assessment</w:t>
            </w:r>
            <w:proofErr w:type="gramEnd"/>
            <w:r>
              <w:t xml:space="preserve"> and care coordination service</w:t>
            </w:r>
          </w:p>
          <w:p w14:paraId="791C2305" w14:textId="06DFAC91" w:rsidR="00367186" w:rsidRPr="00367186" w:rsidRDefault="00367186" w:rsidP="00367186">
            <w:pPr>
              <w:spacing w:after="240"/>
              <w:rPr>
                <w:rFonts w:cstheme="minorHAnsi"/>
              </w:rPr>
            </w:pPr>
            <w:r w:rsidRPr="00367186">
              <w:rPr>
                <w:rFonts w:cstheme="minorHAnsi"/>
                <w:color w:val="222222"/>
                <w:shd w:val="clear" w:color="auto" w:fill="FFFFFF"/>
              </w:rPr>
              <w:t>Website: </w:t>
            </w:r>
            <w:hyperlink r:id="rId8" w:tgtFrame="_blank" w:history="1">
              <w:r w:rsidRPr="00367186">
                <w:rPr>
                  <w:rStyle w:val="Hyperlink"/>
                  <w:rFonts w:cstheme="minorHAnsi"/>
                  <w:color w:val="0043A2"/>
                  <w:shd w:val="clear" w:color="auto" w:fill="FFFFFF"/>
                </w:rPr>
                <w:t>Change Grow Live</w:t>
              </w:r>
            </w:hyperlink>
            <w:r w:rsidRPr="00367186">
              <w:rPr>
                <w:rFonts w:cstheme="minorHAnsi"/>
                <w:color w:val="222222"/>
              </w:rPr>
              <w:br/>
            </w:r>
            <w:r w:rsidRPr="00367186">
              <w:rPr>
                <w:rFonts w:cstheme="minorHAnsi"/>
                <w:color w:val="222222"/>
                <w:shd w:val="clear" w:color="auto" w:fill="FFFFFF"/>
              </w:rPr>
              <w:t>Email: </w:t>
            </w:r>
            <w:hyperlink r:id="rId9" w:history="1">
              <w:r w:rsidRPr="00367186">
                <w:rPr>
                  <w:rStyle w:val="Hyperlink"/>
                  <w:rFonts w:cstheme="minorHAnsi"/>
                  <w:color w:val="0043A2"/>
                  <w:shd w:val="clear" w:color="auto" w:fill="FFFFFF"/>
                </w:rPr>
                <w:t>southampton@cgl.org.uk</w:t>
              </w:r>
            </w:hyperlink>
            <w:r w:rsidRPr="00367186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14:paraId="34D6DFB4" w14:textId="77777777" w:rsidR="00F76313" w:rsidRPr="00125F9A" w:rsidRDefault="00F76313" w:rsidP="00F76313">
            <w:pPr>
              <w:pStyle w:val="ListParagraph"/>
              <w:spacing w:after="240"/>
              <w:ind w:left="0"/>
              <w:rPr>
                <w:b/>
                <w:bCs/>
                <w:i/>
                <w:iCs/>
              </w:rPr>
            </w:pPr>
            <w:r w:rsidRPr="00125F9A">
              <w:rPr>
                <w:b/>
                <w:bCs/>
                <w:i/>
                <w:iCs/>
              </w:rPr>
              <w:t xml:space="preserve">Change, Grow, Live (CGL) Primary Care Outreach </w:t>
            </w:r>
            <w:r w:rsidR="00367186" w:rsidRPr="00125F9A">
              <w:rPr>
                <w:b/>
                <w:bCs/>
                <w:i/>
                <w:iCs/>
              </w:rPr>
              <w:t xml:space="preserve">Team </w:t>
            </w:r>
            <w:proofErr w:type="gramStart"/>
            <w:r w:rsidR="00367186" w:rsidRPr="00125F9A">
              <w:rPr>
                <w:b/>
                <w:bCs/>
                <w:i/>
                <w:iCs/>
              </w:rPr>
              <w:t>being developed</w:t>
            </w:r>
            <w:proofErr w:type="gramEnd"/>
            <w:r w:rsidR="00367186" w:rsidRPr="00125F9A">
              <w:rPr>
                <w:b/>
                <w:bCs/>
                <w:i/>
                <w:iCs/>
              </w:rPr>
              <w:t xml:space="preserve"> in 2024/25 – more details to follow </w:t>
            </w:r>
          </w:p>
          <w:p w14:paraId="258087B2" w14:textId="22FBE7CB" w:rsidR="00367186" w:rsidRPr="00367186" w:rsidRDefault="00367186" w:rsidP="00367186">
            <w:pPr>
              <w:pStyle w:val="Heading3"/>
              <w:shd w:val="clear" w:color="auto" w:fill="FFFFFF"/>
              <w:spacing w:before="0" w:beforeAutospacing="0" w:after="84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367186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Drug and Alcohol Support Hub (DASH)</w:t>
            </w: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 provided by No Limits </w:t>
            </w:r>
            <w:r w:rsidRPr="00367186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for </w:t>
            </w:r>
            <w:r w:rsidRPr="0036718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Young People under 25 years of age</w:t>
            </w:r>
            <w:r w:rsidRPr="00367186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 - information, brief intervention, </w:t>
            </w:r>
            <w:proofErr w:type="gramStart"/>
            <w:r w:rsidRPr="00367186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assessment</w:t>
            </w:r>
            <w:proofErr w:type="gramEnd"/>
            <w:r w:rsidRPr="00367186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 and care coordination service.</w:t>
            </w:r>
          </w:p>
          <w:p w14:paraId="55FC101E" w14:textId="15E555F0" w:rsidR="00367186" w:rsidRPr="00367186" w:rsidRDefault="00367186" w:rsidP="00367186">
            <w:pPr>
              <w:pStyle w:val="NormalWeb"/>
              <w:shd w:val="clear" w:color="auto" w:fill="FFFFFF"/>
              <w:spacing w:before="0" w:beforeAutospacing="0" w:after="240" w:afterAutospacing="0"/>
              <w:rPr>
                <w:i/>
                <w:iCs/>
              </w:rPr>
            </w:pPr>
            <w:r w:rsidRPr="0036718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Telephone: 023 8022 4224</w:t>
            </w:r>
            <w:r w:rsidRPr="0036718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Website: </w:t>
            </w:r>
            <w:hyperlink r:id="rId10" w:tgtFrame="_blank" w:history="1">
              <w:r w:rsidRPr="00367186">
                <w:rPr>
                  <w:rStyle w:val="Hyperlink"/>
                  <w:rFonts w:asciiTheme="minorHAnsi" w:hAnsiTheme="minorHAnsi" w:cstheme="minorHAnsi"/>
                  <w:color w:val="0043A2"/>
                  <w:sz w:val="22"/>
                  <w:szCs w:val="22"/>
                </w:rPr>
                <w:t>No Limits Help</w:t>
              </w:r>
            </w:hyperlink>
            <w:r w:rsidRPr="0036718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Email: </w:t>
            </w:r>
            <w:hyperlink r:id="rId11" w:history="1">
              <w:r w:rsidRPr="00367186">
                <w:rPr>
                  <w:rStyle w:val="Hyperlink"/>
                  <w:rFonts w:asciiTheme="minorHAnsi" w:hAnsiTheme="minorHAnsi" w:cstheme="minorHAnsi"/>
                  <w:color w:val="0043A2"/>
                  <w:sz w:val="22"/>
                  <w:szCs w:val="22"/>
                </w:rPr>
                <w:t>advice@nolimitshelp.org.uk</w:t>
              </w:r>
            </w:hyperlink>
          </w:p>
        </w:tc>
      </w:tr>
      <w:tr w:rsidR="00A90EFD" w14:paraId="53F577ED" w14:textId="77777777" w:rsidTr="002C6759">
        <w:tc>
          <w:tcPr>
            <w:tcW w:w="3397" w:type="dxa"/>
          </w:tcPr>
          <w:p w14:paraId="10F36D2B" w14:textId="77777777" w:rsidR="00A90EFD" w:rsidRPr="002C6759" w:rsidRDefault="00A90EFD" w:rsidP="00723E94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 xml:space="preserve">An assessment of smoking status </w:t>
            </w:r>
          </w:p>
          <w:p w14:paraId="65AFC1EB" w14:textId="77777777" w:rsidR="00723E94" w:rsidRPr="002C6759" w:rsidRDefault="00723E94" w:rsidP="00723E94">
            <w:pPr>
              <w:pStyle w:val="ListParagraph"/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4280662C" w14:textId="77777777" w:rsidR="00EC1834" w:rsidRPr="00125F9A" w:rsidRDefault="00EC1834" w:rsidP="00EC1834">
            <w:pPr>
              <w:pStyle w:val="xmsonormal"/>
              <w:spacing w:after="240"/>
              <w:rPr>
                <w:b/>
                <w:bCs/>
                <w:sz w:val="22"/>
                <w:szCs w:val="22"/>
              </w:rPr>
            </w:pPr>
            <w:proofErr w:type="gramStart"/>
            <w:r w:rsidRPr="00125F9A">
              <w:rPr>
                <w:b/>
                <w:bCs/>
                <w:sz w:val="22"/>
                <w:szCs w:val="22"/>
              </w:rPr>
              <w:t>Some</w:t>
            </w:r>
            <w:proofErr w:type="gramEnd"/>
            <w:r w:rsidRPr="00125F9A">
              <w:rPr>
                <w:b/>
                <w:bCs/>
                <w:sz w:val="22"/>
                <w:szCs w:val="22"/>
              </w:rPr>
              <w:t xml:space="preserve"> pharmacies offer</w:t>
            </w:r>
            <w:r w:rsidRPr="00125F9A">
              <w:rPr>
                <w:sz w:val="22"/>
                <w:szCs w:val="22"/>
              </w:rPr>
              <w:t xml:space="preserve"> smoking cessation/tobacco dependency services. </w:t>
            </w:r>
            <w:r w:rsidRPr="00125F9A">
              <w:rPr>
                <w:b/>
                <w:bCs/>
                <w:sz w:val="22"/>
                <w:szCs w:val="22"/>
              </w:rPr>
              <w:t>Up to date information at:</w:t>
            </w:r>
            <w:r w:rsidRPr="00125F9A">
              <w:t xml:space="preserve"> </w:t>
            </w:r>
            <w:hyperlink r:id="rId12" w:history="1">
              <w:r w:rsidRPr="00125F9A">
                <w:rPr>
                  <w:rStyle w:val="Hyperlink"/>
                  <w:color w:val="auto"/>
                  <w:sz w:val="22"/>
                  <w:szCs w:val="22"/>
                </w:rPr>
                <w:t>Stopping smoking (southampton.gov.uk)</w:t>
              </w:r>
            </w:hyperlink>
          </w:p>
          <w:p w14:paraId="52DC73E9" w14:textId="52F9088C" w:rsidR="00EC1834" w:rsidRPr="00125F9A" w:rsidRDefault="00EC1834" w:rsidP="00EC1834">
            <w:pPr>
              <w:pStyle w:val="xmsonormal"/>
              <w:spacing w:after="240"/>
            </w:pPr>
            <w:r w:rsidRPr="00125F9A">
              <w:rPr>
                <w:b/>
                <w:bCs/>
                <w:sz w:val="22"/>
                <w:szCs w:val="22"/>
              </w:rPr>
              <w:t xml:space="preserve">All </w:t>
            </w:r>
            <w:r w:rsidRPr="00125F9A">
              <w:rPr>
                <w:sz w:val="22"/>
                <w:szCs w:val="22"/>
              </w:rPr>
              <w:t xml:space="preserve">PCNs </w:t>
            </w:r>
            <w:proofErr w:type="gramStart"/>
            <w:r w:rsidRPr="00125F9A">
              <w:rPr>
                <w:b/>
                <w:bCs/>
                <w:sz w:val="22"/>
                <w:szCs w:val="22"/>
              </w:rPr>
              <w:t>are funded</w:t>
            </w:r>
            <w:proofErr w:type="gramEnd"/>
            <w:r w:rsidRPr="00125F9A">
              <w:rPr>
                <w:b/>
                <w:bCs/>
                <w:sz w:val="22"/>
                <w:szCs w:val="22"/>
              </w:rPr>
              <w:t xml:space="preserve"> through Public Health to offer</w:t>
            </w:r>
            <w:r w:rsidRPr="00125F9A">
              <w:rPr>
                <w:sz w:val="22"/>
                <w:szCs w:val="22"/>
              </w:rPr>
              <w:t xml:space="preserve"> smoking cessation/tobacco dependency services</w:t>
            </w:r>
          </w:p>
          <w:p w14:paraId="6E5787E2" w14:textId="3CF63FF8" w:rsidR="00EC1834" w:rsidRPr="00125F9A" w:rsidRDefault="00EC1834" w:rsidP="00EC1834">
            <w:pPr>
              <w:pStyle w:val="xmsonormal"/>
              <w:spacing w:after="240"/>
              <w:rPr>
                <w:sz w:val="22"/>
                <w:szCs w:val="22"/>
              </w:rPr>
            </w:pPr>
            <w:r w:rsidRPr="00125F9A">
              <w:rPr>
                <w:sz w:val="22"/>
                <w:szCs w:val="22"/>
              </w:rPr>
              <w:t xml:space="preserve">Southampton Smokefree Solutions </w:t>
            </w:r>
            <w:hyperlink r:id="rId13" w:history="1">
              <w:r w:rsidRPr="00125F9A">
                <w:rPr>
                  <w:rStyle w:val="Hyperlink"/>
                  <w:color w:val="auto"/>
                  <w:sz w:val="22"/>
                  <w:szCs w:val="22"/>
                </w:rPr>
                <w:t>www.southamptonsmokefreesolutions.co.uk</w:t>
              </w:r>
            </w:hyperlink>
            <w:r w:rsidRPr="00125F9A">
              <w:rPr>
                <w:sz w:val="22"/>
                <w:szCs w:val="22"/>
              </w:rPr>
              <w:t xml:space="preserve">  promote and can deliver VBA training to PCNs/GP surgeries, get in touch with Chris McMahon </w:t>
            </w:r>
            <w:hyperlink r:id="rId14" w:history="1">
              <w:r w:rsidRPr="00125F9A">
                <w:rPr>
                  <w:rStyle w:val="Hyperlink"/>
                  <w:color w:val="auto"/>
                  <w:sz w:val="22"/>
                  <w:szCs w:val="22"/>
                </w:rPr>
                <w:t>chris.mcmahon@solutions4health.co.uk</w:t>
              </w:r>
            </w:hyperlink>
            <w:r w:rsidRPr="00125F9A">
              <w:rPr>
                <w:sz w:val="22"/>
                <w:szCs w:val="22"/>
              </w:rPr>
              <w:t xml:space="preserve">  to discuss any training needs to support smoking cessation conversations as part of the SMI Health Check  </w:t>
            </w:r>
          </w:p>
          <w:p w14:paraId="21EE746F" w14:textId="333AF384" w:rsidR="00CE44A4" w:rsidRDefault="00EC1834" w:rsidP="00EC1834">
            <w:pPr>
              <w:spacing w:after="240"/>
            </w:pPr>
            <w:r w:rsidRPr="00AC7FC7">
              <w:rPr>
                <w:b/>
                <w:bCs/>
                <w:i/>
                <w:iCs/>
              </w:rPr>
              <w:t xml:space="preserve">Further support for people with SMI </w:t>
            </w:r>
            <w:proofErr w:type="gramStart"/>
            <w:r w:rsidRPr="00AC7FC7">
              <w:rPr>
                <w:b/>
                <w:bCs/>
                <w:i/>
                <w:iCs/>
              </w:rPr>
              <w:t>being developed</w:t>
            </w:r>
            <w:proofErr w:type="gramEnd"/>
            <w:r w:rsidRPr="00AC7FC7">
              <w:rPr>
                <w:b/>
                <w:bCs/>
                <w:i/>
                <w:iCs/>
              </w:rPr>
              <w:t xml:space="preserve"> in 2024/25- more details to follow</w:t>
            </w:r>
          </w:p>
        </w:tc>
      </w:tr>
      <w:tr w:rsidR="00A90EFD" w14:paraId="34A91C7F" w14:textId="77777777" w:rsidTr="002C6759">
        <w:tc>
          <w:tcPr>
            <w:tcW w:w="3397" w:type="dxa"/>
          </w:tcPr>
          <w:p w14:paraId="412E5EED" w14:textId="102DED6D" w:rsidR="00723E94" w:rsidRPr="002C6759" w:rsidRDefault="00723E94" w:rsidP="004C5C59">
            <w:pPr>
              <w:pStyle w:val="ListParagraph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  <w:r w:rsidRPr="002C6759">
              <w:rPr>
                <w:b/>
                <w:sz w:val="24"/>
                <w:szCs w:val="24"/>
              </w:rPr>
              <w:t>Support access to relevant national screenings</w:t>
            </w:r>
          </w:p>
        </w:tc>
        <w:tc>
          <w:tcPr>
            <w:tcW w:w="11482" w:type="dxa"/>
            <w:gridSpan w:val="2"/>
          </w:tcPr>
          <w:p w14:paraId="2AFC85E3" w14:textId="2D030013" w:rsidR="00A90EFD" w:rsidRDefault="00CE44A4" w:rsidP="004B1304">
            <w:pPr>
              <w:spacing w:after="240"/>
            </w:pPr>
            <w:r>
              <w:t>No provision other than standard promotion</w:t>
            </w:r>
            <w:r w:rsidR="005B1186">
              <w:t>.</w:t>
            </w:r>
          </w:p>
        </w:tc>
      </w:tr>
    </w:tbl>
    <w:p w14:paraId="56B71578" w14:textId="77777777" w:rsidR="00A90EFD" w:rsidRDefault="00A90EFD" w:rsidP="004C5C59">
      <w:pPr>
        <w:spacing w:after="240" w:line="240" w:lineRule="auto"/>
      </w:pPr>
    </w:p>
    <w:sectPr w:rsidR="00A90EFD" w:rsidSect="004C5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85"/>
    <w:multiLevelType w:val="hybridMultilevel"/>
    <w:tmpl w:val="E02A63DA"/>
    <w:lvl w:ilvl="0" w:tplc="B748F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E1B70"/>
    <w:multiLevelType w:val="hybridMultilevel"/>
    <w:tmpl w:val="876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D71"/>
    <w:multiLevelType w:val="hybridMultilevel"/>
    <w:tmpl w:val="D31A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1D42"/>
    <w:multiLevelType w:val="hybridMultilevel"/>
    <w:tmpl w:val="2E8E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54E"/>
    <w:multiLevelType w:val="hybridMultilevel"/>
    <w:tmpl w:val="1A28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A1E"/>
    <w:multiLevelType w:val="hybridMultilevel"/>
    <w:tmpl w:val="F07E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56E"/>
    <w:multiLevelType w:val="hybridMultilevel"/>
    <w:tmpl w:val="142A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F9C"/>
    <w:multiLevelType w:val="hybridMultilevel"/>
    <w:tmpl w:val="123A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7173"/>
    <w:multiLevelType w:val="hybridMultilevel"/>
    <w:tmpl w:val="4B462D32"/>
    <w:lvl w:ilvl="0" w:tplc="562C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E5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20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A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0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CB579B"/>
    <w:multiLevelType w:val="hybridMultilevel"/>
    <w:tmpl w:val="5E6A8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726D8"/>
    <w:multiLevelType w:val="hybridMultilevel"/>
    <w:tmpl w:val="A6C2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7E62"/>
    <w:multiLevelType w:val="hybridMultilevel"/>
    <w:tmpl w:val="6F30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3652"/>
    <w:multiLevelType w:val="hybridMultilevel"/>
    <w:tmpl w:val="7930B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E00E2"/>
    <w:multiLevelType w:val="hybridMultilevel"/>
    <w:tmpl w:val="3D5676DC"/>
    <w:lvl w:ilvl="0" w:tplc="69CC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27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0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A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5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8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6C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7D65A7"/>
    <w:multiLevelType w:val="hybridMultilevel"/>
    <w:tmpl w:val="F28C6448"/>
    <w:lvl w:ilvl="0" w:tplc="9882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A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E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501224"/>
    <w:multiLevelType w:val="hybridMultilevel"/>
    <w:tmpl w:val="982A2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59F8"/>
    <w:multiLevelType w:val="hybridMultilevel"/>
    <w:tmpl w:val="6D6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1B75"/>
    <w:multiLevelType w:val="hybridMultilevel"/>
    <w:tmpl w:val="F35E0C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F0A38"/>
    <w:multiLevelType w:val="hybridMultilevel"/>
    <w:tmpl w:val="7C50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30EB0"/>
    <w:multiLevelType w:val="hybridMultilevel"/>
    <w:tmpl w:val="72386D1A"/>
    <w:lvl w:ilvl="0" w:tplc="DF8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6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8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B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6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8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AC7503"/>
    <w:multiLevelType w:val="hybridMultilevel"/>
    <w:tmpl w:val="82C8C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32369">
    <w:abstractNumId w:val="16"/>
  </w:num>
  <w:num w:numId="2" w16cid:durableId="626356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686650">
    <w:abstractNumId w:val="12"/>
  </w:num>
  <w:num w:numId="4" w16cid:durableId="2105571369">
    <w:abstractNumId w:val="2"/>
  </w:num>
  <w:num w:numId="5" w16cid:durableId="1294557531">
    <w:abstractNumId w:val="19"/>
  </w:num>
  <w:num w:numId="6" w16cid:durableId="1391883088">
    <w:abstractNumId w:val="8"/>
  </w:num>
  <w:num w:numId="7" w16cid:durableId="841240117">
    <w:abstractNumId w:val="14"/>
  </w:num>
  <w:num w:numId="8" w16cid:durableId="1069695895">
    <w:abstractNumId w:val="13"/>
  </w:num>
  <w:num w:numId="9" w16cid:durableId="1882085949">
    <w:abstractNumId w:val="3"/>
  </w:num>
  <w:num w:numId="10" w16cid:durableId="1923950695">
    <w:abstractNumId w:val="20"/>
  </w:num>
  <w:num w:numId="11" w16cid:durableId="471676991">
    <w:abstractNumId w:val="7"/>
  </w:num>
  <w:num w:numId="12" w16cid:durableId="259457851">
    <w:abstractNumId w:val="1"/>
  </w:num>
  <w:num w:numId="13" w16cid:durableId="1055010651">
    <w:abstractNumId w:val="4"/>
  </w:num>
  <w:num w:numId="14" w16cid:durableId="1619603744">
    <w:abstractNumId w:val="11"/>
  </w:num>
  <w:num w:numId="15" w16cid:durableId="2033452420">
    <w:abstractNumId w:val="10"/>
  </w:num>
  <w:num w:numId="16" w16cid:durableId="1662126045">
    <w:abstractNumId w:val="0"/>
  </w:num>
  <w:num w:numId="17" w16cid:durableId="1096483801">
    <w:abstractNumId w:val="5"/>
  </w:num>
  <w:num w:numId="18" w16cid:durableId="386488893">
    <w:abstractNumId w:val="6"/>
  </w:num>
  <w:num w:numId="19" w16cid:durableId="2145004227">
    <w:abstractNumId w:val="9"/>
  </w:num>
  <w:num w:numId="20" w16cid:durableId="897932191">
    <w:abstractNumId w:val="17"/>
  </w:num>
  <w:num w:numId="21" w16cid:durableId="1692803121">
    <w:abstractNumId w:val="15"/>
  </w:num>
  <w:num w:numId="22" w16cid:durableId="18930353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2E"/>
    <w:rsid w:val="0001498F"/>
    <w:rsid w:val="00043BC5"/>
    <w:rsid w:val="000B12A2"/>
    <w:rsid w:val="000F4383"/>
    <w:rsid w:val="00103050"/>
    <w:rsid w:val="00125F9A"/>
    <w:rsid w:val="00131146"/>
    <w:rsid w:val="00162E3B"/>
    <w:rsid w:val="001B48DB"/>
    <w:rsid w:val="001F7CB4"/>
    <w:rsid w:val="00237072"/>
    <w:rsid w:val="0027729F"/>
    <w:rsid w:val="002A140D"/>
    <w:rsid w:val="002A278B"/>
    <w:rsid w:val="002B6043"/>
    <w:rsid w:val="002C6759"/>
    <w:rsid w:val="0034277D"/>
    <w:rsid w:val="003553D1"/>
    <w:rsid w:val="00367186"/>
    <w:rsid w:val="003B00BF"/>
    <w:rsid w:val="003D061C"/>
    <w:rsid w:val="003E3F97"/>
    <w:rsid w:val="00405062"/>
    <w:rsid w:val="00445FB6"/>
    <w:rsid w:val="004735A1"/>
    <w:rsid w:val="004A13DD"/>
    <w:rsid w:val="004B1304"/>
    <w:rsid w:val="004C5C59"/>
    <w:rsid w:val="004D1EE0"/>
    <w:rsid w:val="00522890"/>
    <w:rsid w:val="00533773"/>
    <w:rsid w:val="005B1186"/>
    <w:rsid w:val="005F7512"/>
    <w:rsid w:val="00647391"/>
    <w:rsid w:val="006479F5"/>
    <w:rsid w:val="0068552E"/>
    <w:rsid w:val="006F5724"/>
    <w:rsid w:val="00723E94"/>
    <w:rsid w:val="008B2D1D"/>
    <w:rsid w:val="008B78B5"/>
    <w:rsid w:val="009313C8"/>
    <w:rsid w:val="00993A20"/>
    <w:rsid w:val="00A00B35"/>
    <w:rsid w:val="00A218F2"/>
    <w:rsid w:val="00A26F1C"/>
    <w:rsid w:val="00A70DBD"/>
    <w:rsid w:val="00A90EFD"/>
    <w:rsid w:val="00AB0FA5"/>
    <w:rsid w:val="00AC7FC7"/>
    <w:rsid w:val="00B2142E"/>
    <w:rsid w:val="00B660FF"/>
    <w:rsid w:val="00B707A3"/>
    <w:rsid w:val="00BC0E37"/>
    <w:rsid w:val="00C17829"/>
    <w:rsid w:val="00C20E02"/>
    <w:rsid w:val="00C363D2"/>
    <w:rsid w:val="00C430C8"/>
    <w:rsid w:val="00C54604"/>
    <w:rsid w:val="00C7753F"/>
    <w:rsid w:val="00CC771C"/>
    <w:rsid w:val="00CE44A4"/>
    <w:rsid w:val="00D96F75"/>
    <w:rsid w:val="00DC08A9"/>
    <w:rsid w:val="00DE3F0D"/>
    <w:rsid w:val="00E649F1"/>
    <w:rsid w:val="00E66CCB"/>
    <w:rsid w:val="00EC1834"/>
    <w:rsid w:val="00EC5D1E"/>
    <w:rsid w:val="00EE4E67"/>
    <w:rsid w:val="00F14294"/>
    <w:rsid w:val="00F253F7"/>
    <w:rsid w:val="00F76313"/>
    <w:rsid w:val="00F90C09"/>
    <w:rsid w:val="00F95F11"/>
    <w:rsid w:val="00FB05EA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E7753A"/>
  <w15:docId w15:val="{242E1A3B-0CCD-4B3F-A99C-EAD5DECF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4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140D"/>
  </w:style>
  <w:style w:type="paragraph" w:styleId="NormalWeb">
    <w:name w:val="Normal (Web)"/>
    <w:basedOn w:val="Normal"/>
    <w:uiPriority w:val="99"/>
    <w:unhideWhenUsed/>
    <w:rsid w:val="003E3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75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5FB6"/>
    <w:pPr>
      <w:spacing w:after="0" w:line="240" w:lineRule="auto"/>
    </w:pPr>
  </w:style>
  <w:style w:type="table" w:styleId="TableGrid">
    <w:name w:val="Table Grid"/>
    <w:basedOn w:val="TableNormal"/>
    <w:uiPriority w:val="39"/>
    <w:rsid w:val="003D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B12A2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E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38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C183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71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growlive.org/" TargetMode="External"/><Relationship Id="rId13" Type="http://schemas.openxmlformats.org/officeDocument/2006/relationships/hyperlink" Target="https://gbr01.safelinks.protection.outlook.com/?url=http%3A%2F%2Fwww.southamptonsmokefreesolutions.co.uk%2F&amp;data=05%7C02%7Camanda.luker%40nhs.net%7Cdb7e83dfec0a4f421bb108dc765acdbe%7C37c354b285b047f5b22207b48d774ee3%7C0%7C0%7C638515379592061746%7CUnknown%7CTWFpbGZsb3d8eyJWIjoiMC4wLjAwMDAiLCJQIjoiV2luMzIiLCJBTiI6Ik1haWwiLCJXVCI6Mn0%3D%7C0%7C%7C%7C&amp;sdata=dp3jxXYavnvTdr%2Beg3URiisNfcjJHOoDLAcmzni%2B1B8%3D&amp;reserved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gbr01.safelinks.protection.outlook.com/?url=https%3A%2F%2Fwww.southampton.gov.uk%2Fhealth%2Ftobacco-alcohol-and-drugs%2Fstopping-smoking%2F&amp;data=05%7C02%7Camanda.luker%40nhs.net%7Cdb7e83dfec0a4f421bb108dc765acdbe%7C37c354b285b047f5b22207b48d774ee3%7C0%7C0%7C638515379592056194%7CUnknown%7CTWFpbGZsb3d8eyJWIjoiMC4wLjAwMDAiLCJQIjoiV2luMzIiLCJBTiI6Ik1haWwiLCJXVCI6Mn0%3D%7C0%7C%7C%7C&amp;sdata=jANc%2B5sWaO6wBlhOH5qFjlh37alm4v20jYBvdqfYZwY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dvice@nolimitshel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limitshelp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ampton@cgl.org.uk" TargetMode="External"/><Relationship Id="rId14" Type="http://schemas.openxmlformats.org/officeDocument/2006/relationships/hyperlink" Target="mailto:chris.mcmahon@solutions4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1CC3-B371-4F95-9314-A1E2C7DF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Burgess Hana</dc:creator>
  <cp:lastModifiedBy>LUKER, Amanda (NHS HAMPSHIRE AND ISLE OF WIGHT ICB - D9Y0V)</cp:lastModifiedBy>
  <cp:revision>4</cp:revision>
  <dcterms:created xsi:type="dcterms:W3CDTF">2024-05-23T08:10:00Z</dcterms:created>
  <dcterms:modified xsi:type="dcterms:W3CDTF">2024-06-03T10:17:00Z</dcterms:modified>
</cp:coreProperties>
</file>