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7E3A" w14:textId="77777777" w:rsidR="009E52C2" w:rsidRDefault="009E52C2">
      <w:pPr>
        <w:pStyle w:val="BodyText"/>
        <w:spacing w:before="7"/>
        <w:rPr>
          <w:rFonts w:ascii="Times New Roman"/>
          <w:sz w:val="18"/>
        </w:rPr>
      </w:pPr>
    </w:p>
    <w:p w14:paraId="34E13F87" w14:textId="77777777" w:rsidR="009E52C2" w:rsidRPr="00A74B5B" w:rsidRDefault="00000000">
      <w:pPr>
        <w:spacing w:before="91"/>
        <w:ind w:left="2923"/>
        <w:rPr>
          <w:b/>
          <w:bCs/>
          <w:sz w:val="28"/>
        </w:rPr>
      </w:pPr>
      <w:r w:rsidRPr="00A74B5B">
        <w:rPr>
          <w:b/>
          <w:bCs/>
          <w:noProof/>
        </w:rPr>
        <w:drawing>
          <wp:anchor distT="0" distB="0" distL="0" distR="0" simplePos="0" relativeHeight="251657216" behindDoc="0" locked="0" layoutInCell="1" allowOverlap="1" wp14:anchorId="1228AA83" wp14:editId="3D222C32">
            <wp:simplePos x="0" y="0"/>
            <wp:positionH relativeFrom="page">
              <wp:posOffset>590982</wp:posOffset>
            </wp:positionH>
            <wp:positionV relativeFrom="paragraph">
              <wp:posOffset>-137274</wp:posOffset>
            </wp:positionV>
            <wp:extent cx="643969" cy="6328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43969" cy="632893"/>
                    </a:xfrm>
                    <a:prstGeom prst="rect">
                      <a:avLst/>
                    </a:prstGeom>
                  </pic:spPr>
                </pic:pic>
              </a:graphicData>
            </a:graphic>
          </wp:anchor>
        </w:drawing>
      </w:r>
      <w:r w:rsidRPr="00A74B5B">
        <w:rPr>
          <w:b/>
          <w:bCs/>
          <w:sz w:val="28"/>
        </w:rPr>
        <w:t>Testing for pertussis in primary care</w:t>
      </w:r>
    </w:p>
    <w:p w14:paraId="404EEA52" w14:textId="77777777" w:rsidR="009E52C2" w:rsidRDefault="009E52C2">
      <w:pPr>
        <w:pStyle w:val="BodyText"/>
        <w:rPr>
          <w:sz w:val="30"/>
        </w:rPr>
      </w:pPr>
    </w:p>
    <w:p w14:paraId="2E80222F" w14:textId="77777777" w:rsidR="009E52C2" w:rsidRDefault="009E52C2">
      <w:pPr>
        <w:pStyle w:val="BodyText"/>
        <w:spacing w:before="2"/>
        <w:rPr>
          <w:sz w:val="38"/>
        </w:rPr>
      </w:pPr>
    </w:p>
    <w:p w14:paraId="04AC291D" w14:textId="3472EFF4" w:rsidR="009E52C2" w:rsidRDefault="001D6061">
      <w:pPr>
        <w:pStyle w:val="BodyText"/>
        <w:spacing w:line="333" w:lineRule="auto"/>
        <w:ind w:left="190" w:right="485"/>
      </w:pPr>
      <w:r>
        <w:rPr>
          <w:noProof/>
        </w:rPr>
        <mc:AlternateContent>
          <mc:Choice Requires="wps">
            <w:drawing>
              <wp:anchor distT="0" distB="0" distL="114300" distR="114300" simplePos="0" relativeHeight="251658240" behindDoc="1" locked="0" layoutInCell="1" allowOverlap="1" wp14:anchorId="63065460" wp14:editId="66D27F85">
                <wp:simplePos x="0" y="0"/>
                <wp:positionH relativeFrom="page">
                  <wp:posOffset>483235</wp:posOffset>
                </wp:positionH>
                <wp:positionV relativeFrom="paragraph">
                  <wp:posOffset>368300</wp:posOffset>
                </wp:positionV>
                <wp:extent cx="6034405" cy="619760"/>
                <wp:effectExtent l="6985" t="13335" r="6985" b="5080"/>
                <wp:wrapNone/>
                <wp:docPr id="131539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4405" cy="619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93EA1D" w14:textId="77777777" w:rsidR="00D305DC" w:rsidRDefault="00000000">
                            <w:pPr>
                              <w:pStyle w:val="BodyText"/>
                              <w:spacing w:before="19" w:line="242" w:lineRule="auto"/>
                              <w:ind w:left="369" w:right="1043"/>
                            </w:pPr>
                            <w:r>
                              <w:t xml:space="preserve">All cases should be notified to your local health protection team (HPT) </w:t>
                            </w:r>
                            <w:r w:rsidR="00C14495">
                              <w:t>(0344 225 3861/</w:t>
                            </w:r>
                          </w:p>
                          <w:p w14:paraId="3643F1B9" w14:textId="51077EA6" w:rsidR="009E52C2" w:rsidRDefault="00000000">
                            <w:pPr>
                              <w:pStyle w:val="BodyText"/>
                              <w:spacing w:before="19" w:line="242" w:lineRule="auto"/>
                              <w:ind w:left="369" w:right="1043"/>
                            </w:pPr>
                            <w:hyperlink r:id="rId6" w:history="1">
                              <w:r w:rsidR="00A74B5B" w:rsidRPr="00882E9F">
                                <w:rPr>
                                  <w:rStyle w:val="Hyperlink"/>
                                </w:rPr>
                                <w:t>PHE.sshpu@nhs.net</w:t>
                              </w:r>
                            </w:hyperlink>
                            <w:r w:rsidR="00C14495">
                              <w:t>).</w:t>
                            </w:r>
                            <w:r w:rsidR="00D305DC">
                              <w:t xml:space="preserve"> When notifying, it is helpful to let the HPT know if the case has had contact with pregnant individuals or children aged under one year, including through occupational exposure (for example healthcare or nursery settings).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65460" id="_x0000_t202" coordsize="21600,21600" o:spt="202" path="m,l,21600r21600,l21600,xe">
                <v:stroke joinstyle="miter"/>
                <v:path gradientshapeok="t" o:connecttype="rect"/>
              </v:shapetype>
              <v:shape id="Text Box 2" o:spid="_x0000_s1026" type="#_x0000_t202" style="position:absolute;left:0;text-align:left;margin-left:38.05pt;margin-top:29pt;width:475.15pt;height:4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" filled="f" strokeweight=".48pt">
                <v:textbox inset="0,0,0,0">
                  <w:txbxContent>
                    <w:p w14:paraId="2293EA1D" w14:textId="77777777" w:rsidR="00D305DC" w:rsidRDefault="00000000">
                      <w:pPr>
                        <w:pStyle w:val="BodyText"/>
                        <w:spacing w:before="19" w:line="242" w:lineRule="auto"/>
                        <w:ind w:left="369" w:right="1043"/>
                      </w:pPr>
                      <w:r>
                        <w:t xml:space="preserve">All cases should be notified to your local health protection team (HPT) </w:t>
                      </w:r>
                      <w:r w:rsidR="00C14495">
                        <w:t>(0344 225 3861/</w:t>
                      </w:r>
                    </w:p>
                    <w:p w14:paraId="3643F1B9" w14:textId="51077EA6" w:rsidR="009E52C2" w:rsidRDefault="00000000">
                      <w:pPr>
                        <w:pStyle w:val="BodyText"/>
                        <w:spacing w:before="19" w:line="242" w:lineRule="auto"/>
                        <w:ind w:left="369" w:right="1043"/>
                      </w:pPr>
                      <w:hyperlink r:id="rId7" w:history="1">
                        <w:r w:rsidR="00A74B5B" w:rsidRPr="00882E9F">
                          <w:rPr>
                            <w:rStyle w:val="Hyperlink"/>
                          </w:rPr>
                          <w:t>PHE.sshpu@nhs.net</w:t>
                        </w:r>
                      </w:hyperlink>
                      <w:r w:rsidR="00C14495">
                        <w:t>).</w:t>
                      </w:r>
                      <w:r w:rsidR="00D305DC">
                        <w:t xml:space="preserve"> When notifying, it is helpful to let the HPT know if the case has had contact with pregnant individuals or children aged under one year, including through occupational exposure (for example healthcare or nursery settings).</w:t>
                      </w:r>
                    </w:p>
                  </w:txbxContent>
                </v:textbox>
                <w10:wrap anchorx="page"/>
              </v:shape>
            </w:pict>
          </mc:Fallback>
        </mc:AlternateContent>
      </w:r>
      <w:r>
        <w:t>Suspect pertussis in patients with a cough illness lasting 14 days or more without an apparent cause plus one of the following: (a) paroxysms of coughing (b) inspiratory ‘whoop’ (c) post-tussive vomiting</w:t>
      </w:r>
    </w:p>
    <w:p w14:paraId="5BB1EE50" w14:textId="77777777" w:rsidR="009E52C2" w:rsidRDefault="009E52C2">
      <w:pPr>
        <w:pStyle w:val="BodyText"/>
      </w:pPr>
    </w:p>
    <w:p w14:paraId="5410566B" w14:textId="77777777" w:rsidR="009E52C2" w:rsidRDefault="009E52C2">
      <w:pPr>
        <w:pStyle w:val="BodyText"/>
      </w:pPr>
    </w:p>
    <w:p w14:paraId="11D01B2B" w14:textId="77777777" w:rsidR="009E52C2" w:rsidRDefault="009E52C2">
      <w:pPr>
        <w:pStyle w:val="BodyText"/>
      </w:pPr>
    </w:p>
    <w:p w14:paraId="77AF015B" w14:textId="77777777" w:rsidR="009E52C2" w:rsidRDefault="009E52C2">
      <w:pPr>
        <w:pStyle w:val="BodyText"/>
        <w:spacing w:before="2"/>
        <w:rPr>
          <w:sz w:val="22"/>
        </w:rPr>
      </w:pPr>
    </w:p>
    <w:p w14:paraId="0FD3FDDE" w14:textId="77777777" w:rsidR="009E52C2" w:rsidRDefault="00000000">
      <w:pPr>
        <w:pStyle w:val="BodyText"/>
        <w:spacing w:before="94"/>
        <w:ind w:left="190"/>
      </w:pPr>
      <w:r>
        <w:t>Recommended tests for pertussis testing vary according to the length of time since cough onset:</w:t>
      </w:r>
    </w:p>
    <w:p w14:paraId="52BEE039" w14:textId="77777777" w:rsidR="009E52C2" w:rsidRDefault="00000000">
      <w:pPr>
        <w:pStyle w:val="ListParagraph"/>
        <w:numPr>
          <w:ilvl w:val="0"/>
          <w:numId w:val="1"/>
        </w:numPr>
        <w:tabs>
          <w:tab w:val="left" w:pos="550"/>
          <w:tab w:val="left" w:pos="551"/>
        </w:tabs>
        <w:spacing w:before="3"/>
        <w:rPr>
          <w:sz w:val="20"/>
        </w:rPr>
      </w:pPr>
      <w:r>
        <w:rPr>
          <w:sz w:val="20"/>
        </w:rPr>
        <w:t xml:space="preserve">less than 2 weeks from cough onset </w:t>
      </w:r>
      <w:r>
        <w:rPr>
          <w:sz w:val="27"/>
        </w:rPr>
        <w:t xml:space="preserve">– </w:t>
      </w:r>
      <w:r>
        <w:rPr>
          <w:sz w:val="20"/>
        </w:rPr>
        <w:t>PCR and</w:t>
      </w:r>
      <w:r>
        <w:rPr>
          <w:spacing w:val="-38"/>
          <w:sz w:val="20"/>
        </w:rPr>
        <w:t xml:space="preserve"> </w:t>
      </w:r>
      <w:r>
        <w:rPr>
          <w:sz w:val="20"/>
        </w:rPr>
        <w:t>culture</w:t>
      </w:r>
    </w:p>
    <w:p w14:paraId="7FACDBD8" w14:textId="77777777" w:rsidR="009E52C2" w:rsidRDefault="00000000">
      <w:pPr>
        <w:pStyle w:val="ListParagraph"/>
        <w:numPr>
          <w:ilvl w:val="0"/>
          <w:numId w:val="1"/>
        </w:numPr>
        <w:tabs>
          <w:tab w:val="left" w:pos="550"/>
          <w:tab w:val="left" w:pos="551"/>
        </w:tabs>
        <w:spacing w:before="10" w:line="297" w:lineRule="auto"/>
        <w:ind w:right="1102"/>
        <w:rPr>
          <w:sz w:val="20"/>
        </w:rPr>
      </w:pPr>
      <w:r>
        <w:rPr>
          <w:sz w:val="20"/>
        </w:rPr>
        <w:t xml:space="preserve">between 2 and 3 weeks from cough onset </w:t>
      </w:r>
      <w:r>
        <w:rPr>
          <w:sz w:val="27"/>
        </w:rPr>
        <w:t>–</w:t>
      </w:r>
      <w:r>
        <w:rPr>
          <w:spacing w:val="-54"/>
          <w:sz w:val="27"/>
        </w:rPr>
        <w:t xml:space="preserve"> </w:t>
      </w:r>
      <w:r>
        <w:rPr>
          <w:sz w:val="20"/>
        </w:rPr>
        <w:t>PCR and culture and either oral fluid kit (if aged 2 to &lt;17 years) or</w:t>
      </w:r>
      <w:r>
        <w:rPr>
          <w:spacing w:val="-15"/>
          <w:sz w:val="20"/>
        </w:rPr>
        <w:t xml:space="preserve"> </w:t>
      </w:r>
      <w:r>
        <w:rPr>
          <w:sz w:val="20"/>
        </w:rPr>
        <w:t>serology</w:t>
      </w:r>
    </w:p>
    <w:p w14:paraId="257AF850" w14:textId="77777777" w:rsidR="009E52C2" w:rsidRDefault="00000000">
      <w:pPr>
        <w:pStyle w:val="ListParagraph"/>
        <w:numPr>
          <w:ilvl w:val="0"/>
          <w:numId w:val="1"/>
        </w:numPr>
        <w:tabs>
          <w:tab w:val="left" w:pos="550"/>
          <w:tab w:val="left" w:pos="551"/>
        </w:tabs>
        <w:spacing w:line="280" w:lineRule="exact"/>
        <w:rPr>
          <w:sz w:val="20"/>
        </w:rPr>
      </w:pPr>
      <w:r>
        <w:rPr>
          <w:sz w:val="20"/>
        </w:rPr>
        <w:t xml:space="preserve">more than 3 weeks from cough onset </w:t>
      </w:r>
      <w:r>
        <w:rPr>
          <w:sz w:val="27"/>
        </w:rPr>
        <w:t>–</w:t>
      </w:r>
      <w:r>
        <w:rPr>
          <w:spacing w:val="-57"/>
          <w:sz w:val="27"/>
        </w:rPr>
        <w:t xml:space="preserve"> </w:t>
      </w:r>
      <w:r>
        <w:rPr>
          <w:sz w:val="20"/>
        </w:rPr>
        <w:t>either oral fluid kit (if aged 2 to &lt;17 years) or serology</w:t>
      </w:r>
    </w:p>
    <w:p w14:paraId="7994DEDD" w14:textId="77777777" w:rsidR="009E52C2" w:rsidRDefault="009E52C2">
      <w:pPr>
        <w:pStyle w:val="BodyText"/>
        <w:spacing w:before="2"/>
        <w:rPr>
          <w:sz w:val="19"/>
        </w:rPr>
      </w:pPr>
    </w:p>
    <w:tbl>
      <w:tblPr>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92"/>
        <w:gridCol w:w="4946"/>
      </w:tblGrid>
      <w:tr w:rsidR="009E52C2" w14:paraId="353DD909" w14:textId="77777777">
        <w:trPr>
          <w:trHeight w:val="1615"/>
        </w:trPr>
        <w:tc>
          <w:tcPr>
            <w:tcW w:w="4692" w:type="dxa"/>
            <w:vMerge w:val="restart"/>
            <w:tcBorders>
              <w:bottom w:val="thinThickMediumGap" w:sz="3" w:space="0" w:color="000000"/>
              <w:right w:val="double" w:sz="3" w:space="0" w:color="000000"/>
            </w:tcBorders>
          </w:tcPr>
          <w:p w14:paraId="5F36C144" w14:textId="7570104E" w:rsidR="009E52C2" w:rsidRPr="00A74B5B" w:rsidRDefault="0015546E" w:rsidP="0015546E">
            <w:pPr>
              <w:pStyle w:val="TableParagraph"/>
              <w:spacing w:before="70"/>
              <w:ind w:right="1167"/>
              <w:rPr>
                <w:b/>
                <w:sz w:val="19"/>
              </w:rPr>
            </w:pPr>
            <w:r>
              <w:rPr>
                <w:noProof/>
                <w:sz w:val="19"/>
              </w:rPr>
              <w:object w:dxaOrig="225" w:dyaOrig="225" w14:anchorId="64DB1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6pt;margin-top:1.6pt;width:75.75pt;height:49.5pt;z-index:251660288;mso-position-horizontal-relative:text;mso-position-vertical-relative:text;mso-width-relative:page;mso-height-relative:page">
                  <v:imagedata r:id="rId8" o:title=""/>
                  <w10:wrap type="square"/>
                </v:shape>
                <o:OLEObject Type="Embed" ProgID="Word.Document.12" ShapeID="_x0000_s1026" DrawAspect="Icon" ObjectID="_1778047490" r:id="rId9">
                  <o:FieldCodes>\s</o:FieldCodes>
                </o:OLEObject>
              </w:object>
            </w:r>
            <w:r w:rsidR="00000000">
              <w:rPr>
                <w:b/>
                <w:sz w:val="19"/>
              </w:rPr>
              <w:t xml:space="preserve">Sending a pertussis PCR test – free </w:t>
            </w:r>
            <w:r w:rsidR="00000000" w:rsidRPr="00A74B5B">
              <w:rPr>
                <w:b/>
                <w:sz w:val="19"/>
              </w:rPr>
              <w:t>service</w:t>
            </w:r>
          </w:p>
          <w:p w14:paraId="52A126A4" w14:textId="77777777" w:rsidR="009E52C2" w:rsidRPr="00A74B5B" w:rsidRDefault="009E52C2">
            <w:pPr>
              <w:pStyle w:val="TableParagraph"/>
              <w:ind w:left="0"/>
              <w:rPr>
                <w:sz w:val="19"/>
              </w:rPr>
            </w:pPr>
          </w:p>
          <w:p w14:paraId="3CF64153" w14:textId="0EA3D676" w:rsidR="009E52C2" w:rsidRPr="00A74B5B" w:rsidRDefault="00000000">
            <w:pPr>
              <w:pStyle w:val="TableParagraph"/>
              <w:spacing w:before="3"/>
              <w:ind w:right="163"/>
              <w:rPr>
                <w:sz w:val="19"/>
              </w:rPr>
            </w:pPr>
            <w:r w:rsidRPr="00A74B5B">
              <w:rPr>
                <w:sz w:val="19"/>
              </w:rPr>
              <w:t>Please submit samples to your local laboratory as per normal protocol</w:t>
            </w:r>
            <w:r w:rsidR="0015546E">
              <w:rPr>
                <w:sz w:val="19"/>
              </w:rPr>
              <w:t xml:space="preserve"> using the above request form</w:t>
            </w:r>
            <w:r w:rsidRPr="00A74B5B">
              <w:rPr>
                <w:sz w:val="19"/>
              </w:rPr>
              <w:t xml:space="preserve">. Samples will then be referred for pertussis PCR detection by </w:t>
            </w:r>
            <w:r w:rsidR="00D305DC" w:rsidRPr="00A74B5B">
              <w:rPr>
                <w:sz w:val="19"/>
              </w:rPr>
              <w:t xml:space="preserve">the </w:t>
            </w:r>
            <w:r w:rsidRPr="00A74B5B">
              <w:rPr>
                <w:sz w:val="19"/>
              </w:rPr>
              <w:t>public health laboratory (PHL)</w:t>
            </w:r>
            <w:r w:rsidR="00D305DC" w:rsidRPr="00A74B5B">
              <w:rPr>
                <w:sz w:val="19"/>
              </w:rPr>
              <w:t xml:space="preserve"> at Royal Sussex County Hospital</w:t>
            </w:r>
            <w:r w:rsidRPr="00A74B5B">
              <w:rPr>
                <w:sz w:val="19"/>
              </w:rPr>
              <w:t>. Pertussis PCR testing is not chargeable, when performed at a PHL. Please label clearly ‘for Bordetella pertussis PCR testing’.</w:t>
            </w:r>
            <w:r w:rsidR="00D305DC" w:rsidRPr="00A74B5B">
              <w:rPr>
                <w:sz w:val="19"/>
              </w:rPr>
              <w:t xml:space="preserve">  Results will be reported to you as per normal protocol and will take approximately 1 week.</w:t>
            </w:r>
          </w:p>
          <w:p w14:paraId="4E34D6E2" w14:textId="77777777" w:rsidR="009E52C2" w:rsidRPr="00A74B5B" w:rsidRDefault="009E52C2">
            <w:pPr>
              <w:pStyle w:val="TableParagraph"/>
              <w:spacing w:before="9"/>
              <w:ind w:left="0"/>
              <w:rPr>
                <w:sz w:val="19"/>
              </w:rPr>
            </w:pPr>
          </w:p>
          <w:p w14:paraId="5C246BC0" w14:textId="46C5641D" w:rsidR="009E52C2" w:rsidRPr="00A74B5B" w:rsidRDefault="00000000">
            <w:pPr>
              <w:pStyle w:val="TableParagraph"/>
              <w:ind w:right="448"/>
              <w:rPr>
                <w:sz w:val="19"/>
              </w:rPr>
            </w:pPr>
            <w:r w:rsidRPr="00A74B5B">
              <w:rPr>
                <w:sz w:val="19"/>
              </w:rPr>
              <w:t>PCR testing can be performed on the following specimens</w:t>
            </w:r>
            <w:r w:rsidR="00CA2964" w:rsidRPr="00A74B5B">
              <w:rPr>
                <w:sz w:val="19"/>
              </w:rPr>
              <w:t xml:space="preserve"> (in order of preference)</w:t>
            </w:r>
            <w:r w:rsidRPr="00A74B5B">
              <w:rPr>
                <w:sz w:val="19"/>
              </w:rPr>
              <w:t>:</w:t>
            </w:r>
          </w:p>
          <w:p w14:paraId="602035CE" w14:textId="42E500B6" w:rsidR="009E52C2" w:rsidRPr="00A74B5B" w:rsidRDefault="00000000">
            <w:pPr>
              <w:pStyle w:val="TableParagraph"/>
              <w:spacing w:before="46"/>
              <w:ind w:left="618"/>
              <w:rPr>
                <w:sz w:val="19"/>
              </w:rPr>
            </w:pPr>
            <w:r w:rsidRPr="00A74B5B">
              <w:rPr>
                <w:noProof/>
                <w:position w:val="-3"/>
              </w:rPr>
              <w:drawing>
                <wp:inline distT="0" distB="0" distL="0" distR="0" wp14:anchorId="103E38A3" wp14:editId="3E0F7F5C">
                  <wp:extent cx="181356" cy="13411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81356" cy="134112"/>
                          </a:xfrm>
                          <a:prstGeom prst="rect">
                            <a:avLst/>
                          </a:prstGeom>
                        </pic:spPr>
                      </pic:pic>
                    </a:graphicData>
                  </a:graphic>
                </wp:inline>
              </w:drawing>
            </w:r>
            <w:r w:rsidRPr="00A74B5B">
              <w:rPr>
                <w:rFonts w:ascii="Times New Roman"/>
                <w:spacing w:val="23"/>
                <w:sz w:val="20"/>
              </w:rPr>
              <w:t xml:space="preserve"> </w:t>
            </w:r>
            <w:r w:rsidRPr="00A74B5B">
              <w:rPr>
                <w:sz w:val="19"/>
              </w:rPr>
              <w:t>Pernasal</w:t>
            </w:r>
            <w:r w:rsidRPr="00A74B5B">
              <w:rPr>
                <w:spacing w:val="-5"/>
                <w:sz w:val="19"/>
              </w:rPr>
              <w:t xml:space="preserve"> </w:t>
            </w:r>
            <w:r w:rsidRPr="00A74B5B">
              <w:rPr>
                <w:sz w:val="19"/>
              </w:rPr>
              <w:t>swabs</w:t>
            </w:r>
            <w:r w:rsidR="003D5EBD" w:rsidRPr="00A74B5B">
              <w:rPr>
                <w:sz w:val="19"/>
              </w:rPr>
              <w:t xml:space="preserve"> in VTM tube</w:t>
            </w:r>
            <w:r w:rsidR="00D305DC" w:rsidRPr="00A74B5B">
              <w:rPr>
                <w:sz w:val="19"/>
              </w:rPr>
              <w:t xml:space="preserve"> </w:t>
            </w:r>
          </w:p>
          <w:p w14:paraId="4EBD0523" w14:textId="25C84FF5" w:rsidR="009E52C2" w:rsidRDefault="00000000">
            <w:pPr>
              <w:pStyle w:val="TableParagraph"/>
              <w:spacing w:before="15" w:after="94"/>
              <w:ind w:right="171"/>
              <w:rPr>
                <w:sz w:val="19"/>
              </w:rPr>
            </w:pPr>
            <w:r w:rsidRPr="00A74B5B">
              <w:rPr>
                <w:sz w:val="19"/>
              </w:rPr>
              <w:t>Use a dry swab with a flexible wire shaft and a rayon, Dacron or nylon bud. A rigid shaft is not suitable. Push the swab along the floor of the nasal cavity, as far towards the posterior wall of the nasopharynx as possible.</w:t>
            </w:r>
            <w:r w:rsidR="00D305DC" w:rsidRPr="00A74B5B">
              <w:rPr>
                <w:sz w:val="19"/>
              </w:rPr>
              <w:t xml:space="preserve">  The swab should then be put in VTM tube (not charcoal) and mix well.  </w:t>
            </w:r>
            <w:r w:rsidR="00D305DC" w:rsidRPr="00A74B5B">
              <w:rPr>
                <w:b/>
                <w:bCs/>
                <w:sz w:val="19"/>
              </w:rPr>
              <w:t>The swab should then be discarded and only the remaining VTM sent to the lab, labelled as ‘pernasal swab mixed in VTM.</w:t>
            </w:r>
            <w:r w:rsidR="00A74B5B" w:rsidRPr="00A74B5B">
              <w:rPr>
                <w:b/>
                <w:bCs/>
                <w:sz w:val="19"/>
              </w:rPr>
              <w:t>’</w:t>
            </w:r>
          </w:p>
          <w:p w14:paraId="447AFFBC" w14:textId="77777777" w:rsidR="009E52C2" w:rsidRDefault="00000000">
            <w:pPr>
              <w:pStyle w:val="TableParagraph"/>
              <w:tabs>
                <w:tab w:val="left" w:pos="3346"/>
              </w:tabs>
              <w:ind w:left="401"/>
              <w:rPr>
                <w:sz w:val="20"/>
              </w:rPr>
            </w:pPr>
            <w:r>
              <w:rPr>
                <w:noProof/>
                <w:position w:val="12"/>
                <w:sz w:val="20"/>
              </w:rPr>
              <w:drawing>
                <wp:inline distT="0" distB="0" distL="0" distR="0" wp14:anchorId="7395C476" wp14:editId="539ECD1D">
                  <wp:extent cx="1465151" cy="1108519"/>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465151" cy="1108519"/>
                          </a:xfrm>
                          <a:prstGeom prst="rect">
                            <a:avLst/>
                          </a:prstGeom>
                        </pic:spPr>
                      </pic:pic>
                    </a:graphicData>
                  </a:graphic>
                </wp:inline>
              </w:drawing>
            </w:r>
            <w:r>
              <w:rPr>
                <w:position w:val="12"/>
                <w:sz w:val="20"/>
              </w:rPr>
              <w:tab/>
            </w:r>
            <w:r>
              <w:rPr>
                <w:noProof/>
                <w:sz w:val="20"/>
              </w:rPr>
              <w:drawing>
                <wp:inline distT="0" distB="0" distL="0" distR="0" wp14:anchorId="0E2FC142" wp14:editId="5915ADC8">
                  <wp:extent cx="383716" cy="1212341"/>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2" cstate="print"/>
                          <a:stretch>
                            <a:fillRect/>
                          </a:stretch>
                        </pic:blipFill>
                        <pic:spPr>
                          <a:xfrm>
                            <a:off x="0" y="0"/>
                            <a:ext cx="383716" cy="1212341"/>
                          </a:xfrm>
                          <a:prstGeom prst="rect">
                            <a:avLst/>
                          </a:prstGeom>
                        </pic:spPr>
                      </pic:pic>
                    </a:graphicData>
                  </a:graphic>
                </wp:inline>
              </w:drawing>
            </w:r>
          </w:p>
          <w:p w14:paraId="2B517765" w14:textId="77777777" w:rsidR="009E52C2" w:rsidRDefault="00000000">
            <w:pPr>
              <w:pStyle w:val="TableParagraph"/>
              <w:spacing w:before="28"/>
              <w:ind w:left="618"/>
              <w:rPr>
                <w:sz w:val="19"/>
              </w:rPr>
            </w:pPr>
            <w:r>
              <w:rPr>
                <w:noProof/>
                <w:position w:val="-3"/>
              </w:rPr>
              <w:drawing>
                <wp:inline distT="0" distB="0" distL="0" distR="0" wp14:anchorId="0EA87FD3" wp14:editId="713C6D8F">
                  <wp:extent cx="181356" cy="13411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0" cstate="print"/>
                          <a:stretch>
                            <a:fillRect/>
                          </a:stretch>
                        </pic:blipFill>
                        <pic:spPr>
                          <a:xfrm>
                            <a:off x="0" y="0"/>
                            <a:ext cx="181356" cy="134112"/>
                          </a:xfrm>
                          <a:prstGeom prst="rect">
                            <a:avLst/>
                          </a:prstGeom>
                        </pic:spPr>
                      </pic:pic>
                    </a:graphicData>
                  </a:graphic>
                </wp:inline>
              </w:drawing>
            </w:r>
            <w:r>
              <w:rPr>
                <w:rFonts w:ascii="Times New Roman"/>
                <w:spacing w:val="23"/>
                <w:sz w:val="20"/>
              </w:rPr>
              <w:t xml:space="preserve"> </w:t>
            </w:r>
            <w:r>
              <w:rPr>
                <w:sz w:val="19"/>
              </w:rPr>
              <w:t>Nasopharyngeal</w:t>
            </w:r>
            <w:r>
              <w:rPr>
                <w:spacing w:val="-2"/>
                <w:sz w:val="19"/>
              </w:rPr>
              <w:t xml:space="preserve"> </w:t>
            </w:r>
            <w:r>
              <w:rPr>
                <w:sz w:val="19"/>
              </w:rPr>
              <w:t>aspirate</w:t>
            </w:r>
          </w:p>
          <w:p w14:paraId="5A4EC3E5" w14:textId="77777777" w:rsidR="009E52C2" w:rsidRDefault="00000000" w:rsidP="00CA2964">
            <w:pPr>
              <w:pStyle w:val="TableParagraph"/>
              <w:ind w:left="150" w:right="503"/>
              <w:rPr>
                <w:color w:val="0066FF"/>
                <w:sz w:val="19"/>
              </w:rPr>
            </w:pPr>
            <w:r>
              <w:rPr>
                <w:sz w:val="19"/>
              </w:rPr>
              <w:t xml:space="preserve">Provide not less than 400 microlitres in a sterile container. See the following link for further guidance: </w:t>
            </w:r>
            <w:hyperlink r:id="rId13">
              <w:r>
                <w:rPr>
                  <w:color w:val="0066FF"/>
                  <w:sz w:val="19"/>
                  <w:u w:val="single" w:color="0066FF"/>
                </w:rPr>
                <w:t>CDC video how to take a</w:t>
              </w:r>
            </w:hyperlink>
            <w:r>
              <w:rPr>
                <w:color w:val="0066FF"/>
                <w:sz w:val="19"/>
              </w:rPr>
              <w:t xml:space="preserve"> </w:t>
            </w:r>
            <w:hyperlink r:id="rId14">
              <w:r>
                <w:rPr>
                  <w:color w:val="0066FF"/>
                  <w:sz w:val="19"/>
                  <w:u w:val="single" w:color="0066FF"/>
                </w:rPr>
                <w:t>nasopharyngeal aspirate</w:t>
              </w:r>
              <w:r>
                <w:rPr>
                  <w:color w:val="0066FF"/>
                  <w:sz w:val="19"/>
                </w:rPr>
                <w:t>.</w:t>
              </w:r>
            </w:hyperlink>
          </w:p>
          <w:p w14:paraId="1ABE1A89" w14:textId="77777777" w:rsidR="00CA2964" w:rsidRPr="00BA6D38" w:rsidRDefault="00CA2964" w:rsidP="00CA2964">
            <w:pPr>
              <w:pStyle w:val="TableParagraph"/>
              <w:spacing w:before="48"/>
              <w:ind w:left="618"/>
              <w:rPr>
                <w:sz w:val="19"/>
              </w:rPr>
            </w:pPr>
            <w:r w:rsidRPr="00BA6D38">
              <w:rPr>
                <w:noProof/>
                <w:position w:val="-3"/>
              </w:rPr>
              <w:drawing>
                <wp:inline distT="0" distB="0" distL="0" distR="0" wp14:anchorId="246D4F67" wp14:editId="108BF810">
                  <wp:extent cx="181356" cy="13411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81356" cy="134112"/>
                          </a:xfrm>
                          <a:prstGeom prst="rect">
                            <a:avLst/>
                          </a:prstGeom>
                        </pic:spPr>
                      </pic:pic>
                    </a:graphicData>
                  </a:graphic>
                </wp:inline>
              </w:drawing>
            </w:r>
            <w:r w:rsidRPr="00BA6D38">
              <w:rPr>
                <w:rFonts w:ascii="Times New Roman"/>
                <w:spacing w:val="23"/>
                <w:sz w:val="20"/>
              </w:rPr>
              <w:t xml:space="preserve"> </w:t>
            </w:r>
            <w:r>
              <w:rPr>
                <w:sz w:val="19"/>
              </w:rPr>
              <w:t>Combined nasal/t</w:t>
            </w:r>
            <w:r w:rsidRPr="00BA6D38">
              <w:rPr>
                <w:sz w:val="19"/>
              </w:rPr>
              <w:t>hroat</w:t>
            </w:r>
            <w:r w:rsidRPr="00BA6D38">
              <w:rPr>
                <w:spacing w:val="-4"/>
                <w:sz w:val="19"/>
              </w:rPr>
              <w:t xml:space="preserve"> </w:t>
            </w:r>
            <w:r w:rsidRPr="00BA6D38">
              <w:rPr>
                <w:sz w:val="19"/>
              </w:rPr>
              <w:t>swabs</w:t>
            </w:r>
          </w:p>
          <w:p w14:paraId="6F5E22D9" w14:textId="7DCC9F02" w:rsidR="00CA2964" w:rsidRDefault="00CA2964" w:rsidP="00A74B5B">
            <w:pPr>
              <w:pStyle w:val="TableParagraph"/>
              <w:ind w:left="150" w:right="503"/>
              <w:rPr>
                <w:sz w:val="19"/>
              </w:rPr>
            </w:pPr>
            <w:r w:rsidRPr="00BA6D38">
              <w:rPr>
                <w:sz w:val="19"/>
              </w:rPr>
              <w:t xml:space="preserve">Collected using a virology swab </w:t>
            </w:r>
            <w:r w:rsidR="003D5EBD">
              <w:rPr>
                <w:sz w:val="19"/>
              </w:rPr>
              <w:t>in VTM tube.</w:t>
            </w:r>
          </w:p>
        </w:tc>
        <w:tc>
          <w:tcPr>
            <w:tcW w:w="4946" w:type="dxa"/>
            <w:tcBorders>
              <w:left w:val="double" w:sz="2" w:space="0" w:color="000000"/>
              <w:bottom w:val="double" w:sz="2" w:space="0" w:color="000000"/>
            </w:tcBorders>
          </w:tcPr>
          <w:p w14:paraId="096BD1C7" w14:textId="77777777" w:rsidR="009E52C2" w:rsidRDefault="00000000">
            <w:pPr>
              <w:pStyle w:val="TableParagraph"/>
              <w:spacing w:before="113"/>
              <w:ind w:left="168"/>
              <w:rPr>
                <w:b/>
                <w:sz w:val="19"/>
              </w:rPr>
            </w:pPr>
            <w:r>
              <w:rPr>
                <w:b/>
                <w:sz w:val="19"/>
              </w:rPr>
              <w:t>Sending a pertussis culture</w:t>
            </w:r>
          </w:p>
          <w:p w14:paraId="085B64FC" w14:textId="77777777" w:rsidR="009E52C2" w:rsidRDefault="00000000">
            <w:pPr>
              <w:pStyle w:val="TableParagraph"/>
              <w:spacing w:before="76" w:line="237" w:lineRule="auto"/>
              <w:ind w:left="168" w:right="79"/>
              <w:rPr>
                <w:sz w:val="19"/>
              </w:rPr>
            </w:pPr>
            <w:r>
              <w:rPr>
                <w:sz w:val="19"/>
              </w:rPr>
              <w:t>A nasopharyngeal swab or pernasal swab may be taken for culture. The swab should be placed in a culture medium (ideally charcoal) and submitted to your local microbiology lab. Please clearly label as ‘for pertussis culture’.</w:t>
            </w:r>
          </w:p>
        </w:tc>
      </w:tr>
      <w:tr w:rsidR="009E52C2" w14:paraId="3E1718B7" w14:textId="77777777">
        <w:trPr>
          <w:trHeight w:val="2248"/>
        </w:trPr>
        <w:tc>
          <w:tcPr>
            <w:tcW w:w="4692" w:type="dxa"/>
            <w:vMerge/>
            <w:tcBorders>
              <w:top w:val="nil"/>
              <w:bottom w:val="thinThickMediumGap" w:sz="3" w:space="0" w:color="000000"/>
              <w:right w:val="double" w:sz="3" w:space="0" w:color="000000"/>
            </w:tcBorders>
          </w:tcPr>
          <w:p w14:paraId="20BBFEAB" w14:textId="77777777" w:rsidR="009E52C2" w:rsidRDefault="009E52C2">
            <w:pPr>
              <w:rPr>
                <w:sz w:val="2"/>
                <w:szCs w:val="2"/>
              </w:rPr>
            </w:pPr>
          </w:p>
        </w:tc>
        <w:tc>
          <w:tcPr>
            <w:tcW w:w="4946" w:type="dxa"/>
            <w:tcBorders>
              <w:top w:val="double" w:sz="2" w:space="0" w:color="000000"/>
              <w:left w:val="double" w:sz="2" w:space="0" w:color="000000"/>
              <w:bottom w:val="single" w:sz="12" w:space="0" w:color="000000"/>
            </w:tcBorders>
          </w:tcPr>
          <w:p w14:paraId="6725BC23" w14:textId="77777777" w:rsidR="009E52C2" w:rsidRDefault="00000000">
            <w:pPr>
              <w:pStyle w:val="TableParagraph"/>
              <w:spacing w:before="73"/>
              <w:ind w:left="170"/>
              <w:rPr>
                <w:b/>
                <w:sz w:val="19"/>
              </w:rPr>
            </w:pPr>
            <w:r>
              <w:rPr>
                <w:b/>
                <w:sz w:val="19"/>
              </w:rPr>
              <w:t>Requesting an oral fluid kit – free service</w:t>
            </w:r>
          </w:p>
          <w:p w14:paraId="2DAF78A3" w14:textId="77777777" w:rsidR="009E52C2" w:rsidRDefault="00000000">
            <w:pPr>
              <w:pStyle w:val="TableParagraph"/>
              <w:spacing w:before="58"/>
              <w:ind w:left="170"/>
              <w:rPr>
                <w:sz w:val="19"/>
              </w:rPr>
            </w:pPr>
            <w:r>
              <w:rPr>
                <w:sz w:val="19"/>
              </w:rPr>
              <w:t xml:space="preserve">For cases aged 2 to </w:t>
            </w:r>
            <w:r>
              <w:rPr>
                <w:rFonts w:ascii="Calibri"/>
                <w:sz w:val="20"/>
              </w:rPr>
              <w:t>&lt;</w:t>
            </w:r>
            <w:r>
              <w:rPr>
                <w:sz w:val="19"/>
              </w:rPr>
              <w:t>17 years, notify the case to your local HPT, and they will post an oral fluid kit (OFK) directly to the case.</w:t>
            </w:r>
          </w:p>
          <w:p w14:paraId="3FB3CA99" w14:textId="77777777" w:rsidR="009E52C2" w:rsidRDefault="009E52C2">
            <w:pPr>
              <w:pStyle w:val="TableParagraph"/>
              <w:spacing w:before="11"/>
              <w:ind w:left="0"/>
              <w:rPr>
                <w:sz w:val="23"/>
              </w:rPr>
            </w:pPr>
          </w:p>
          <w:p w14:paraId="6F703110" w14:textId="77777777" w:rsidR="009E52C2" w:rsidRDefault="00000000">
            <w:pPr>
              <w:pStyle w:val="TableParagraph"/>
              <w:ind w:left="170" w:right="163"/>
              <w:rPr>
                <w:sz w:val="19"/>
              </w:rPr>
            </w:pPr>
            <w:r>
              <w:rPr>
                <w:sz w:val="19"/>
              </w:rPr>
              <w:t>Note that oral fluid testing is not recommended if the case has been immunised against pertussis in the previous year as a positive result cannot be interpreted.</w:t>
            </w:r>
          </w:p>
        </w:tc>
      </w:tr>
      <w:tr w:rsidR="009E52C2" w14:paraId="052ACD6D" w14:textId="77777777">
        <w:trPr>
          <w:trHeight w:val="2760"/>
        </w:trPr>
        <w:tc>
          <w:tcPr>
            <w:tcW w:w="4692" w:type="dxa"/>
            <w:vMerge/>
            <w:tcBorders>
              <w:top w:val="nil"/>
              <w:bottom w:val="thinThickMediumGap" w:sz="3" w:space="0" w:color="000000"/>
              <w:right w:val="double" w:sz="3" w:space="0" w:color="000000"/>
            </w:tcBorders>
          </w:tcPr>
          <w:p w14:paraId="171BFF85" w14:textId="77777777" w:rsidR="009E52C2" w:rsidRDefault="009E52C2">
            <w:pPr>
              <w:rPr>
                <w:sz w:val="2"/>
                <w:szCs w:val="2"/>
              </w:rPr>
            </w:pPr>
          </w:p>
        </w:tc>
        <w:tc>
          <w:tcPr>
            <w:tcW w:w="4946" w:type="dxa"/>
            <w:tcBorders>
              <w:top w:val="single" w:sz="12" w:space="0" w:color="000000"/>
              <w:left w:val="double" w:sz="2" w:space="0" w:color="000000"/>
              <w:bottom w:val="double" w:sz="2" w:space="0" w:color="000000"/>
            </w:tcBorders>
          </w:tcPr>
          <w:p w14:paraId="28265F65" w14:textId="77777777" w:rsidR="009E52C2" w:rsidRDefault="00000000">
            <w:pPr>
              <w:pStyle w:val="TableParagraph"/>
              <w:spacing w:before="102"/>
              <w:ind w:left="168"/>
              <w:rPr>
                <w:b/>
                <w:sz w:val="20"/>
              </w:rPr>
            </w:pPr>
            <w:r>
              <w:rPr>
                <w:b/>
                <w:sz w:val="20"/>
              </w:rPr>
              <w:t>Sending a pertussis serology test</w:t>
            </w:r>
          </w:p>
          <w:p w14:paraId="63266381" w14:textId="77777777" w:rsidR="009E52C2" w:rsidRDefault="00000000">
            <w:pPr>
              <w:pStyle w:val="TableParagraph"/>
              <w:spacing w:before="73"/>
              <w:ind w:left="168" w:right="99"/>
              <w:rPr>
                <w:sz w:val="19"/>
              </w:rPr>
            </w:pPr>
            <w:r>
              <w:rPr>
                <w:sz w:val="19"/>
              </w:rPr>
              <w:t xml:space="preserve">For cases not aged 2 to </w:t>
            </w:r>
            <w:r>
              <w:rPr>
                <w:rFonts w:ascii="Calibri"/>
                <w:sz w:val="20"/>
              </w:rPr>
              <w:t>&lt;</w:t>
            </w:r>
            <w:r>
              <w:rPr>
                <w:sz w:val="19"/>
              </w:rPr>
              <w:t>17 years, a charged-for serology test using serum can be arranged via your local laboratory, either undertaken by them or then</w:t>
            </w:r>
            <w:r>
              <w:rPr>
                <w:spacing w:val="-29"/>
                <w:sz w:val="19"/>
              </w:rPr>
              <w:t xml:space="preserve"> </w:t>
            </w:r>
            <w:r>
              <w:rPr>
                <w:sz w:val="19"/>
              </w:rPr>
              <w:t xml:space="preserve">sent on to the Respiratory and Vaccine Preventable Bacteria Reference Unit (RVPBRU). </w:t>
            </w:r>
            <w:hyperlink r:id="rId15">
              <w:r>
                <w:rPr>
                  <w:color w:val="0462C1"/>
                  <w:sz w:val="19"/>
                  <w:u w:val="single" w:color="0462C1"/>
                </w:rPr>
                <w:t>Form R3 can be</w:t>
              </w:r>
            </w:hyperlink>
            <w:r>
              <w:rPr>
                <w:color w:val="0462C1"/>
                <w:sz w:val="19"/>
              </w:rPr>
              <w:t xml:space="preserve"> </w:t>
            </w:r>
            <w:hyperlink r:id="rId16">
              <w:r>
                <w:rPr>
                  <w:color w:val="0462C1"/>
                  <w:sz w:val="19"/>
                  <w:u w:val="single" w:color="0462C1"/>
                </w:rPr>
                <w:t>used</w:t>
              </w:r>
              <w:r>
                <w:rPr>
                  <w:color w:val="0066FF"/>
                  <w:sz w:val="19"/>
                </w:rPr>
                <w:t>.</w:t>
              </w:r>
            </w:hyperlink>
          </w:p>
          <w:p w14:paraId="52C44672" w14:textId="77777777" w:rsidR="009E52C2" w:rsidRDefault="009E52C2">
            <w:pPr>
              <w:pStyle w:val="TableParagraph"/>
              <w:spacing w:before="2"/>
              <w:ind w:left="0"/>
              <w:rPr>
                <w:sz w:val="24"/>
              </w:rPr>
            </w:pPr>
          </w:p>
          <w:p w14:paraId="4ECF638C" w14:textId="77777777" w:rsidR="009E52C2" w:rsidRDefault="00000000">
            <w:pPr>
              <w:pStyle w:val="TableParagraph"/>
              <w:spacing w:before="1"/>
              <w:ind w:left="168" w:right="153"/>
              <w:jc w:val="both"/>
              <w:rPr>
                <w:sz w:val="19"/>
              </w:rPr>
            </w:pPr>
            <w:r>
              <w:rPr>
                <w:sz w:val="19"/>
              </w:rPr>
              <w:t>Note that serology is not recommended if the case has been immunised against pertussis in the previous year as a positive result cannot be interpreted.</w:t>
            </w:r>
          </w:p>
        </w:tc>
      </w:tr>
      <w:tr w:rsidR="009E52C2" w14:paraId="79646004" w14:textId="77777777">
        <w:trPr>
          <w:trHeight w:val="3123"/>
        </w:trPr>
        <w:tc>
          <w:tcPr>
            <w:tcW w:w="4692" w:type="dxa"/>
            <w:vMerge/>
            <w:tcBorders>
              <w:top w:val="nil"/>
              <w:bottom w:val="thinThickMediumGap" w:sz="3" w:space="0" w:color="000000"/>
              <w:right w:val="double" w:sz="3" w:space="0" w:color="000000"/>
            </w:tcBorders>
          </w:tcPr>
          <w:p w14:paraId="561780B9" w14:textId="77777777" w:rsidR="009E52C2" w:rsidRDefault="009E52C2">
            <w:pPr>
              <w:rPr>
                <w:sz w:val="2"/>
                <w:szCs w:val="2"/>
              </w:rPr>
            </w:pPr>
          </w:p>
        </w:tc>
        <w:tc>
          <w:tcPr>
            <w:tcW w:w="4946" w:type="dxa"/>
            <w:tcBorders>
              <w:top w:val="double" w:sz="2" w:space="0" w:color="000000"/>
              <w:left w:val="double" w:sz="2" w:space="0" w:color="000000"/>
              <w:bottom w:val="thinThickMediumGap" w:sz="3" w:space="0" w:color="000000"/>
            </w:tcBorders>
          </w:tcPr>
          <w:p w14:paraId="5EB226E7" w14:textId="77777777" w:rsidR="009E52C2" w:rsidRPr="00BD6550" w:rsidRDefault="00000000">
            <w:pPr>
              <w:pStyle w:val="TableParagraph"/>
              <w:spacing w:before="124"/>
              <w:ind w:left="170"/>
              <w:rPr>
                <w:b/>
                <w:sz w:val="19"/>
                <w:szCs w:val="19"/>
              </w:rPr>
            </w:pPr>
            <w:r w:rsidRPr="00BD6550">
              <w:rPr>
                <w:b/>
                <w:sz w:val="19"/>
                <w:szCs w:val="19"/>
              </w:rPr>
              <w:t>Managing cases</w:t>
            </w:r>
          </w:p>
          <w:p w14:paraId="738B42C2" w14:textId="6E456A02" w:rsidR="009E52C2" w:rsidRDefault="00BD6550" w:rsidP="00BD6550">
            <w:pPr>
              <w:pStyle w:val="TableParagraph"/>
              <w:spacing w:before="59"/>
              <w:ind w:left="170" w:right="69"/>
              <w:rPr>
                <w:sz w:val="19"/>
              </w:rPr>
            </w:pPr>
            <w:r w:rsidRPr="00BD6550">
              <w:rPr>
                <w:sz w:val="19"/>
                <w:szCs w:val="19"/>
              </w:rPr>
              <w:t xml:space="preserve">Follow </w:t>
            </w:r>
            <w:hyperlink r:id="rId17" w:history="1">
              <w:r w:rsidRPr="00BD6550">
                <w:rPr>
                  <w:rStyle w:val="Hyperlink"/>
                  <w:sz w:val="19"/>
                  <w:szCs w:val="19"/>
                </w:rPr>
                <w:t>UKHSA</w:t>
              </w:r>
            </w:hyperlink>
            <w:r w:rsidRPr="00BD6550">
              <w:rPr>
                <w:sz w:val="19"/>
                <w:szCs w:val="19"/>
              </w:rPr>
              <w:t xml:space="preserve"> and </w:t>
            </w:r>
            <w:hyperlink r:id="rId18" w:history="1">
              <w:r w:rsidRPr="00BD6550">
                <w:rPr>
                  <w:rStyle w:val="Hyperlink"/>
                  <w:sz w:val="19"/>
                  <w:szCs w:val="19"/>
                </w:rPr>
                <w:t>NICE</w:t>
              </w:r>
            </w:hyperlink>
            <w:r w:rsidRPr="00BD6550">
              <w:rPr>
                <w:color w:val="000000"/>
                <w:sz w:val="19"/>
                <w:szCs w:val="19"/>
              </w:rPr>
              <w:t> </w:t>
            </w:r>
            <w:r w:rsidRPr="00BD6550">
              <w:rPr>
                <w:sz w:val="19"/>
                <w:szCs w:val="19"/>
              </w:rPr>
              <w:t xml:space="preserve">recommendations </w:t>
            </w:r>
            <w:r>
              <w:rPr>
                <w:sz w:val="19"/>
                <w:szCs w:val="19"/>
              </w:rPr>
              <w:t xml:space="preserve">about </w:t>
            </w:r>
            <w:r w:rsidRPr="00BD6550">
              <w:rPr>
                <w:sz w:val="19"/>
                <w:szCs w:val="19"/>
              </w:rPr>
              <w:t>appropriate</w:t>
            </w:r>
            <w:r>
              <w:rPr>
                <w:sz w:val="19"/>
              </w:rPr>
              <w:t xml:space="preserve"> antibiotics once PCR and culture tests have been taken. </w:t>
            </w:r>
            <w:r w:rsidR="00D634BC">
              <w:rPr>
                <w:sz w:val="19"/>
              </w:rPr>
              <w:t>If antibiotics are indicated e</w:t>
            </w:r>
            <w:r>
              <w:rPr>
                <w:sz w:val="19"/>
              </w:rPr>
              <w:t>xclude the case from school or work until they have completed 2 days of the antibiotic course. Work with the local HPT to identify and</w:t>
            </w:r>
            <w:r>
              <w:rPr>
                <w:spacing w:val="-30"/>
                <w:sz w:val="19"/>
              </w:rPr>
              <w:t xml:space="preserve"> </w:t>
            </w:r>
            <w:r>
              <w:rPr>
                <w:sz w:val="19"/>
              </w:rPr>
              <w:t>manage vulnerable close contacts. There is no need to prescribe a second course of antibiotics even if symptoms are not</w:t>
            </w:r>
            <w:r>
              <w:rPr>
                <w:spacing w:val="-4"/>
                <w:sz w:val="19"/>
              </w:rPr>
              <w:t xml:space="preserve"> </w:t>
            </w:r>
            <w:r>
              <w:rPr>
                <w:sz w:val="19"/>
              </w:rPr>
              <w:t>resolving.</w:t>
            </w:r>
          </w:p>
          <w:p w14:paraId="7B6C00B7" w14:textId="7800C5A2" w:rsidR="009E52C2" w:rsidRDefault="009E52C2" w:rsidP="00D634BC">
            <w:pPr>
              <w:pStyle w:val="TableParagraph"/>
              <w:ind w:left="0" w:right="163"/>
              <w:rPr>
                <w:sz w:val="19"/>
              </w:rPr>
            </w:pPr>
          </w:p>
        </w:tc>
      </w:tr>
      <w:tr w:rsidR="009E52C2" w14:paraId="2177D468" w14:textId="77777777">
        <w:trPr>
          <w:trHeight w:val="865"/>
        </w:trPr>
        <w:tc>
          <w:tcPr>
            <w:tcW w:w="9638" w:type="dxa"/>
            <w:gridSpan w:val="2"/>
            <w:tcBorders>
              <w:top w:val="thickThinMediumGap" w:sz="6" w:space="0" w:color="000000"/>
              <w:left w:val="single" w:sz="4" w:space="0" w:color="000000"/>
              <w:bottom w:val="single" w:sz="4" w:space="0" w:color="000000"/>
              <w:right w:val="single" w:sz="4" w:space="0" w:color="000000"/>
            </w:tcBorders>
          </w:tcPr>
          <w:p w14:paraId="1AC47D41" w14:textId="77777777" w:rsidR="009E52C2" w:rsidRDefault="009E52C2">
            <w:pPr>
              <w:pStyle w:val="TableParagraph"/>
              <w:spacing w:before="6"/>
              <w:ind w:left="0"/>
              <w:rPr>
                <w:sz w:val="16"/>
              </w:rPr>
            </w:pPr>
          </w:p>
          <w:p w14:paraId="7F05ED91" w14:textId="2E20EA60" w:rsidR="009E52C2" w:rsidRDefault="00000000" w:rsidP="00B41473">
            <w:pPr>
              <w:pStyle w:val="BodyText"/>
              <w:spacing w:before="19" w:line="242" w:lineRule="auto"/>
              <w:ind w:left="74" w:right="217"/>
              <w:rPr>
                <w:sz w:val="19"/>
              </w:rPr>
            </w:pPr>
            <w:r>
              <w:rPr>
                <w:sz w:val="19"/>
              </w:rPr>
              <w:t xml:space="preserve">Further information is available in the </w:t>
            </w:r>
            <w:hyperlink r:id="rId19">
              <w:r>
                <w:rPr>
                  <w:color w:val="0462C1"/>
                  <w:sz w:val="19"/>
                  <w:u w:val="single" w:color="0462C1"/>
                </w:rPr>
                <w:t>Pertussis guidelines for public health management</w:t>
              </w:r>
              <w:r>
                <w:rPr>
                  <w:color w:val="0462C1"/>
                  <w:sz w:val="19"/>
                </w:rPr>
                <w:t xml:space="preserve"> </w:t>
              </w:r>
            </w:hyperlink>
            <w:r>
              <w:rPr>
                <w:sz w:val="19"/>
              </w:rPr>
              <w:t xml:space="preserve">on the testing for and management of pertussis or please </w:t>
            </w:r>
            <w:r w:rsidR="00B41473">
              <w:rPr>
                <w:sz w:val="19"/>
              </w:rPr>
              <w:t>contact</w:t>
            </w:r>
            <w:r>
              <w:rPr>
                <w:sz w:val="19"/>
              </w:rPr>
              <w:t xml:space="preserve"> your local HPT for advice </w:t>
            </w:r>
            <w:r w:rsidR="00D305DC">
              <w:t xml:space="preserve">0344 225 </w:t>
            </w:r>
            <w:hyperlink r:id="rId20" w:history="1">
              <w:r w:rsidR="00A74B5B" w:rsidRPr="00D634BC">
                <w:rPr>
                  <w:rStyle w:val="Hyperlink"/>
                  <w:color w:val="auto"/>
                  <w:u w:val="none"/>
                </w:rPr>
                <w:t>3861/</w:t>
              </w:r>
              <w:r w:rsidR="00A74B5B" w:rsidRPr="00882E9F">
                <w:rPr>
                  <w:rStyle w:val="Hyperlink"/>
                </w:rPr>
                <w:t>PHE.sshpu@nhs.net</w:t>
              </w:r>
            </w:hyperlink>
            <w:r w:rsidR="00A74B5B">
              <w:t xml:space="preserve"> </w:t>
            </w:r>
          </w:p>
        </w:tc>
      </w:tr>
    </w:tbl>
    <w:p w14:paraId="0D1C4FA8" w14:textId="77777777" w:rsidR="002B20A9" w:rsidRDefault="002B20A9"/>
    <w:sectPr w:rsidR="002B20A9">
      <w:type w:val="continuous"/>
      <w:pgSz w:w="11910" w:h="16840"/>
      <w:pgMar w:top="340" w:right="126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D5FFB"/>
    <w:multiLevelType w:val="hybridMultilevel"/>
    <w:tmpl w:val="F8EAE9A0"/>
    <w:lvl w:ilvl="0" w:tplc="5F8CD8BA">
      <w:numFmt w:val="bullet"/>
      <w:lvlText w:val=""/>
      <w:lvlJc w:val="left"/>
      <w:pPr>
        <w:ind w:left="550" w:hanging="360"/>
      </w:pPr>
      <w:rPr>
        <w:rFonts w:ascii="Symbol" w:eastAsia="Symbol" w:hAnsi="Symbol" w:cs="Symbol" w:hint="default"/>
        <w:color w:val="007B91"/>
        <w:w w:val="100"/>
        <w:sz w:val="20"/>
        <w:szCs w:val="20"/>
        <w:lang w:val="it-IT" w:eastAsia="it-IT" w:bidi="it-IT"/>
      </w:rPr>
    </w:lvl>
    <w:lvl w:ilvl="1" w:tplc="DD5E1E44">
      <w:numFmt w:val="bullet"/>
      <w:lvlText w:val="•"/>
      <w:lvlJc w:val="left"/>
      <w:pPr>
        <w:ind w:left="1502" w:hanging="360"/>
      </w:pPr>
      <w:rPr>
        <w:rFonts w:hint="default"/>
        <w:lang w:val="it-IT" w:eastAsia="it-IT" w:bidi="it-IT"/>
      </w:rPr>
    </w:lvl>
    <w:lvl w:ilvl="2" w:tplc="887C6DD0">
      <w:numFmt w:val="bullet"/>
      <w:lvlText w:val="•"/>
      <w:lvlJc w:val="left"/>
      <w:pPr>
        <w:ind w:left="2445" w:hanging="360"/>
      </w:pPr>
      <w:rPr>
        <w:rFonts w:hint="default"/>
        <w:lang w:val="it-IT" w:eastAsia="it-IT" w:bidi="it-IT"/>
      </w:rPr>
    </w:lvl>
    <w:lvl w:ilvl="3" w:tplc="40DA53F0">
      <w:numFmt w:val="bullet"/>
      <w:lvlText w:val="•"/>
      <w:lvlJc w:val="left"/>
      <w:pPr>
        <w:ind w:left="3387" w:hanging="360"/>
      </w:pPr>
      <w:rPr>
        <w:rFonts w:hint="default"/>
        <w:lang w:val="it-IT" w:eastAsia="it-IT" w:bidi="it-IT"/>
      </w:rPr>
    </w:lvl>
    <w:lvl w:ilvl="4" w:tplc="71926B4A">
      <w:numFmt w:val="bullet"/>
      <w:lvlText w:val="•"/>
      <w:lvlJc w:val="left"/>
      <w:pPr>
        <w:ind w:left="4330" w:hanging="360"/>
      </w:pPr>
      <w:rPr>
        <w:rFonts w:hint="default"/>
        <w:lang w:val="it-IT" w:eastAsia="it-IT" w:bidi="it-IT"/>
      </w:rPr>
    </w:lvl>
    <w:lvl w:ilvl="5" w:tplc="774E66CC">
      <w:numFmt w:val="bullet"/>
      <w:lvlText w:val="•"/>
      <w:lvlJc w:val="left"/>
      <w:pPr>
        <w:ind w:left="5273" w:hanging="360"/>
      </w:pPr>
      <w:rPr>
        <w:rFonts w:hint="default"/>
        <w:lang w:val="it-IT" w:eastAsia="it-IT" w:bidi="it-IT"/>
      </w:rPr>
    </w:lvl>
    <w:lvl w:ilvl="6" w:tplc="FB28EB6E">
      <w:numFmt w:val="bullet"/>
      <w:lvlText w:val="•"/>
      <w:lvlJc w:val="left"/>
      <w:pPr>
        <w:ind w:left="6215" w:hanging="360"/>
      </w:pPr>
      <w:rPr>
        <w:rFonts w:hint="default"/>
        <w:lang w:val="it-IT" w:eastAsia="it-IT" w:bidi="it-IT"/>
      </w:rPr>
    </w:lvl>
    <w:lvl w:ilvl="7" w:tplc="9D265770">
      <w:numFmt w:val="bullet"/>
      <w:lvlText w:val="•"/>
      <w:lvlJc w:val="left"/>
      <w:pPr>
        <w:ind w:left="7158" w:hanging="360"/>
      </w:pPr>
      <w:rPr>
        <w:rFonts w:hint="default"/>
        <w:lang w:val="it-IT" w:eastAsia="it-IT" w:bidi="it-IT"/>
      </w:rPr>
    </w:lvl>
    <w:lvl w:ilvl="8" w:tplc="BEF67E46">
      <w:numFmt w:val="bullet"/>
      <w:lvlText w:val="•"/>
      <w:lvlJc w:val="left"/>
      <w:pPr>
        <w:ind w:left="8101" w:hanging="360"/>
      </w:pPr>
      <w:rPr>
        <w:rFonts w:hint="default"/>
        <w:lang w:val="it-IT" w:eastAsia="it-IT" w:bidi="it-IT"/>
      </w:rPr>
    </w:lvl>
  </w:abstractNum>
  <w:num w:numId="1" w16cid:durableId="69115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C2"/>
    <w:rsid w:val="0015546E"/>
    <w:rsid w:val="001D6061"/>
    <w:rsid w:val="002B20A9"/>
    <w:rsid w:val="003C2664"/>
    <w:rsid w:val="003D5EBD"/>
    <w:rsid w:val="00835B20"/>
    <w:rsid w:val="009E52C2"/>
    <w:rsid w:val="00A74B5B"/>
    <w:rsid w:val="00AC503A"/>
    <w:rsid w:val="00B41473"/>
    <w:rsid w:val="00BA6D38"/>
    <w:rsid w:val="00BD6550"/>
    <w:rsid w:val="00C14495"/>
    <w:rsid w:val="00C4686D"/>
    <w:rsid w:val="00CA2964"/>
    <w:rsid w:val="00D305DC"/>
    <w:rsid w:val="00D63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BA8B36"/>
  <w15:docId w15:val="{804430C8-E2AA-40E9-BE89-271CFD52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it-IT" w:eastAsia="it-IT" w:bidi="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50" w:hanging="360"/>
    </w:pPr>
  </w:style>
  <w:style w:type="paragraph" w:customStyle="1" w:styleId="TableParagraph">
    <w:name w:val="Table Paragraph"/>
    <w:basedOn w:val="Normal"/>
    <w:uiPriority w:val="1"/>
    <w:qFormat/>
    <w:pPr>
      <w:ind w:left="257"/>
    </w:pPr>
  </w:style>
  <w:style w:type="paragraph" w:styleId="Revision">
    <w:name w:val="Revision"/>
    <w:hidden/>
    <w:uiPriority w:val="99"/>
    <w:semiHidden/>
    <w:rsid w:val="003D5EBD"/>
    <w:pPr>
      <w:widowControl/>
      <w:autoSpaceDE/>
      <w:autoSpaceDN/>
    </w:pPr>
    <w:rPr>
      <w:rFonts w:ascii="Arial" w:eastAsia="Arial" w:hAnsi="Arial" w:cs="Arial"/>
      <w:lang w:val="it-IT" w:eastAsia="it-IT" w:bidi="it-IT"/>
    </w:rPr>
  </w:style>
  <w:style w:type="character" w:styleId="Hyperlink">
    <w:name w:val="Hyperlink"/>
    <w:basedOn w:val="DefaultParagraphFont"/>
    <w:uiPriority w:val="99"/>
    <w:unhideWhenUsed/>
    <w:rsid w:val="00A74B5B"/>
    <w:rPr>
      <w:color w:val="0000FF" w:themeColor="hyperlink"/>
      <w:u w:val="single"/>
    </w:rPr>
  </w:style>
  <w:style w:type="character" w:styleId="UnresolvedMention">
    <w:name w:val="Unresolved Mention"/>
    <w:basedOn w:val="DefaultParagraphFont"/>
    <w:uiPriority w:val="99"/>
    <w:semiHidden/>
    <w:unhideWhenUsed/>
    <w:rsid w:val="00A74B5B"/>
    <w:rPr>
      <w:color w:val="605E5C"/>
      <w:shd w:val="clear" w:color="auto" w:fill="E1DFDD"/>
    </w:rPr>
  </w:style>
  <w:style w:type="character" w:styleId="FollowedHyperlink">
    <w:name w:val="FollowedHyperlink"/>
    <w:basedOn w:val="DefaultParagraphFont"/>
    <w:uiPriority w:val="99"/>
    <w:semiHidden/>
    <w:unhideWhenUsed/>
    <w:rsid w:val="00D63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youtube.com/watch?v=wktn17tjPaE" TargetMode="External"/><Relationship Id="rId18" Type="http://schemas.openxmlformats.org/officeDocument/2006/relationships/hyperlink" Target="https://eur01.safelinks.protection.outlook.com/?url=https%3A%2F%2Fcks.nice.org.uk%2Ftopics%2Fwhooping-cough%2Fmanagement%2Fmanagement-of-whooping-cough%2F&amp;data=05%7C02%7CRachel.Mearkle%40ukhsa.gov.uk%7C14a4ee1219bb4446652b08dc78ba712e%7Cee4e14994a354b2ead475f3cf9de8666%7C0%7C0%7C638517989646653609%7CUnknown%7CTWFpbGZsb3d8eyJWIjoiMC4wLjAwMDAiLCJQIjoiV2luMzIiLCJBTiI6Ik1haWwiLCJXVCI6Mn0%3D%7C0%7C%7C%7C&amp;sdata=X0YamDGqJplg9U%2BNplBd3B5qutN9yrx9HXHOLxDIELs%3D&amp;reserve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HE.sshpu@nhs.net" TargetMode="External"/><Relationship Id="rId12" Type="http://schemas.openxmlformats.org/officeDocument/2006/relationships/image" Target="media/image5.jpeg"/><Relationship Id="rId17" Type="http://schemas.openxmlformats.org/officeDocument/2006/relationships/hyperlink" Target="https://eur01.safelinks.protection.outlook.com/?url=https%3A%2F%2Fassets.publishing.service.gov.uk%2Fmedia%2F5c0a8edae5274a0b4f4faa25%2FPertussis_brief_for_healthcare_professionals.pdf&amp;data=05%7C02%7CRachel.Mearkle%40ukhsa.gov.uk%7C14a4ee1219bb4446652b08dc78ba712e%7Cee4e14994a354b2ead475f3cf9de8666%7C0%7C0%7C638517989646669632%7CUnknown%7CTWFpbGZsb3d8eyJWIjoiMC4wLjAwMDAiLCJQIjoiV2luMzIiLCJBTiI6Ik1haWwiLCJXVCI6Mn0%3D%7C0%7C%7C%7C&amp;sdata=6A9iI5549aDvCNl5P9TSICT0fK3X9RYpWgcNs6p3EX0%3D&amp;reserved=0" TargetMode="External"/><Relationship Id="rId2" Type="http://schemas.openxmlformats.org/officeDocument/2006/relationships/styles" Target="styles.xml"/><Relationship Id="rId16" Type="http://schemas.openxmlformats.org/officeDocument/2006/relationships/hyperlink" Target="https://www.gov.uk/government/publications/vaccine-preventable-bacteria-section-request-form" TargetMode="External"/><Relationship Id="rId20" Type="http://schemas.openxmlformats.org/officeDocument/2006/relationships/hyperlink" Target="mailto:3861/PHE.sshpu@nhs.net" TargetMode="External"/><Relationship Id="rId1" Type="http://schemas.openxmlformats.org/officeDocument/2006/relationships/numbering" Target="numbering.xml"/><Relationship Id="rId6" Type="http://schemas.openxmlformats.org/officeDocument/2006/relationships/hyperlink" Target="mailto:PHE.sshpu@nhs.net"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hyperlink" Target="https://www.gov.uk/government/publications/vaccine-preventable-bacteria-section-request-form" TargetMode="External"/><Relationship Id="rId10" Type="http://schemas.openxmlformats.org/officeDocument/2006/relationships/image" Target="media/image3.png"/><Relationship Id="rId19" Type="http://schemas.openxmlformats.org/officeDocument/2006/relationships/hyperlink" Target="https://www.gov.uk/government/publications/pertussis-guidelines-for-public-health-management-in-a-healthcare-setting" TargetMode="Externa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yperlink" Target="https://www.youtube.com/watch?v=wktn17tjPa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Pertussis testing in primary care</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Pertussis testing in primary care</dc:title>
  <dc:creator>UKHSA</dc:creator>
  <cp:lastModifiedBy>Rachel Mearkle</cp:lastModifiedBy>
  <cp:revision>2</cp:revision>
  <dcterms:created xsi:type="dcterms:W3CDTF">2024-05-24T08:18:00Z</dcterms:created>
  <dcterms:modified xsi:type="dcterms:W3CDTF">2024-05-24T08:18:00Z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for Microsoft 365</vt:lpwstr>
  </property>
  <property fmtid="{D5CDD505-2E9C-101B-9397-08002B2CF9AE}" pid="4" name="LastSaved">
    <vt:filetime>2024-03-18T00:00:00Z</vt:filetime>
  </property>
</Properties>
</file>