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BBC0" w14:textId="3DAF7721" w:rsidR="00C357C0" w:rsidRPr="00C357C0" w:rsidRDefault="00C357C0" w:rsidP="00C357C0">
      <w:pPr>
        <w:jc w:val="center"/>
        <w:rPr>
          <w:b/>
          <w:bCs/>
          <w:sz w:val="28"/>
          <w:szCs w:val="28"/>
          <w:u w:val="single"/>
        </w:rPr>
      </w:pPr>
      <w:r w:rsidRPr="00C357C0">
        <w:rPr>
          <w:b/>
          <w:bCs/>
          <w:sz w:val="28"/>
          <w:szCs w:val="28"/>
          <w:u w:val="single"/>
        </w:rPr>
        <w:t>Referral Form for Isotretinoin</w:t>
      </w:r>
      <w:r w:rsidR="00647B82">
        <w:rPr>
          <w:b/>
          <w:bCs/>
          <w:sz w:val="28"/>
          <w:szCs w:val="28"/>
          <w:u w:val="single"/>
        </w:rPr>
        <w:t xml:space="preserve"> Treatment</w:t>
      </w:r>
      <w:r w:rsidRPr="00C357C0">
        <w:rPr>
          <w:b/>
          <w:bCs/>
          <w:sz w:val="28"/>
          <w:szCs w:val="28"/>
          <w:u w:val="single"/>
        </w:rPr>
        <w:t xml:space="preserve"> (UHS)</w:t>
      </w:r>
    </w:p>
    <w:p w14:paraId="1278E17C" w14:textId="77777777" w:rsidR="00C357C0" w:rsidRDefault="00C357C0" w:rsidP="00C357C0">
      <w:pPr>
        <w:rPr>
          <w:b/>
          <w:bCs/>
          <w:sz w:val="24"/>
          <w:szCs w:val="24"/>
        </w:rPr>
      </w:pPr>
    </w:p>
    <w:p w14:paraId="1182D0D2" w14:textId="59CE85FF" w:rsidR="00536869" w:rsidRPr="009206F4" w:rsidRDefault="005112EC" w:rsidP="000F6E7F">
      <w:pPr>
        <w:spacing w:after="0"/>
        <w:rPr>
          <w:color w:val="FF0000"/>
        </w:rPr>
      </w:pPr>
      <w:r w:rsidRPr="009206F4">
        <w:rPr>
          <w:color w:val="FF0000"/>
        </w:rPr>
        <w:t xml:space="preserve">Before referring a </w:t>
      </w:r>
      <w:r w:rsidR="00536869" w:rsidRPr="009206F4">
        <w:rPr>
          <w:color w:val="FF0000"/>
        </w:rPr>
        <w:t xml:space="preserve">patient </w:t>
      </w:r>
      <w:r w:rsidRPr="009206F4">
        <w:rPr>
          <w:color w:val="FF0000"/>
        </w:rPr>
        <w:t>with acne vulgaris for the consideration of isotretinoin</w:t>
      </w:r>
      <w:r w:rsidR="00536869" w:rsidRPr="009206F4">
        <w:rPr>
          <w:color w:val="FF0000"/>
        </w:rPr>
        <w:t xml:space="preserve"> please </w:t>
      </w:r>
      <w:r w:rsidRPr="009206F4">
        <w:rPr>
          <w:color w:val="FF0000"/>
        </w:rPr>
        <w:t xml:space="preserve">ensure that </w:t>
      </w:r>
      <w:r w:rsidR="00CC1CEF" w:rsidRPr="009206F4">
        <w:rPr>
          <w:color w:val="FF0000"/>
        </w:rPr>
        <w:t>you consider ALL elements of the sections below a</w:t>
      </w:r>
      <w:r w:rsidRPr="009206F4">
        <w:rPr>
          <w:color w:val="FF0000"/>
        </w:rPr>
        <w:t xml:space="preserve">nd that evidence of this is provided in your referral to prevent the referral being returned. </w:t>
      </w:r>
    </w:p>
    <w:p w14:paraId="481C6626" w14:textId="4ECDFEEA" w:rsidR="000F6E7F" w:rsidRPr="004C76AC" w:rsidRDefault="000F6E7F" w:rsidP="000F6E7F">
      <w:pPr>
        <w:spacing w:after="0"/>
        <w:rPr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957"/>
        <w:gridCol w:w="3827"/>
        <w:gridCol w:w="850"/>
        <w:gridCol w:w="851"/>
      </w:tblGrid>
      <w:tr w:rsidR="00BA14F7" w14:paraId="66638167" w14:textId="77777777" w:rsidTr="009E453D">
        <w:trPr>
          <w:trHeight w:val="523"/>
        </w:trPr>
        <w:tc>
          <w:tcPr>
            <w:tcW w:w="10485" w:type="dxa"/>
            <w:gridSpan w:val="4"/>
          </w:tcPr>
          <w:p w14:paraId="743312C2" w14:textId="7862BD5E" w:rsidR="00BA14F7" w:rsidRPr="00BA14F7" w:rsidRDefault="006B0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A - </w:t>
            </w:r>
            <w:r w:rsidR="00BA14F7" w:rsidRPr="00BA14F7">
              <w:rPr>
                <w:b/>
                <w:bCs/>
              </w:rPr>
              <w:t>Treatment of acne vulgaris</w:t>
            </w:r>
            <w:r w:rsidR="00530253">
              <w:rPr>
                <w:b/>
                <w:bCs/>
              </w:rPr>
              <w:t xml:space="preserve"> in past 2 years</w:t>
            </w:r>
          </w:p>
        </w:tc>
      </w:tr>
      <w:tr w:rsidR="002A44FD" w14:paraId="7E365D49" w14:textId="77777777" w:rsidTr="009E453D">
        <w:trPr>
          <w:trHeight w:val="523"/>
        </w:trPr>
        <w:tc>
          <w:tcPr>
            <w:tcW w:w="8784" w:type="dxa"/>
            <w:gridSpan w:val="2"/>
          </w:tcPr>
          <w:p w14:paraId="0D13BC24" w14:textId="6E60FA3D" w:rsidR="00231B4B" w:rsidRDefault="00231B4B">
            <w:pPr>
              <w:jc w:val="center"/>
            </w:pPr>
          </w:p>
        </w:tc>
        <w:tc>
          <w:tcPr>
            <w:tcW w:w="850" w:type="dxa"/>
          </w:tcPr>
          <w:p w14:paraId="11843EB3" w14:textId="367DA445" w:rsidR="002A44FD" w:rsidRDefault="002A44FD">
            <w:pPr>
              <w:jc w:val="center"/>
            </w:pPr>
            <w:r>
              <w:t>Yes</w:t>
            </w:r>
          </w:p>
        </w:tc>
        <w:tc>
          <w:tcPr>
            <w:tcW w:w="851" w:type="dxa"/>
          </w:tcPr>
          <w:p w14:paraId="19662216" w14:textId="73F61F61" w:rsidR="002A44FD" w:rsidRDefault="002A44FD">
            <w:pPr>
              <w:jc w:val="center"/>
            </w:pPr>
            <w:r>
              <w:t>No</w:t>
            </w:r>
          </w:p>
        </w:tc>
      </w:tr>
      <w:tr w:rsidR="005124D6" w14:paraId="7403F360" w14:textId="77777777" w:rsidTr="009E453D">
        <w:tc>
          <w:tcPr>
            <w:tcW w:w="8784" w:type="dxa"/>
            <w:gridSpan w:val="2"/>
          </w:tcPr>
          <w:p w14:paraId="3DA309D3" w14:textId="00077D94" w:rsidR="005124D6" w:rsidRDefault="005124D6" w:rsidP="009E453D">
            <w:pPr>
              <w:pStyle w:val="ListParagraph"/>
              <w:numPr>
                <w:ilvl w:val="0"/>
                <w:numId w:val="5"/>
              </w:numPr>
            </w:pPr>
            <w:r>
              <w:t>have at least moderate to severe acne according to the NICE guideline definition above</w:t>
            </w:r>
          </w:p>
        </w:tc>
        <w:tc>
          <w:tcPr>
            <w:tcW w:w="850" w:type="dxa"/>
          </w:tcPr>
          <w:p w14:paraId="1F1D7C98" w14:textId="49257915" w:rsidR="005124D6" w:rsidRDefault="005124D6"/>
        </w:tc>
        <w:tc>
          <w:tcPr>
            <w:tcW w:w="851" w:type="dxa"/>
          </w:tcPr>
          <w:p w14:paraId="49419528" w14:textId="77777777" w:rsidR="005124D6" w:rsidRDefault="005124D6"/>
        </w:tc>
      </w:tr>
      <w:tr w:rsidR="005124D6" w14:paraId="200620FF" w14:textId="77777777" w:rsidTr="009E453D">
        <w:tc>
          <w:tcPr>
            <w:tcW w:w="10485" w:type="dxa"/>
            <w:gridSpan w:val="4"/>
          </w:tcPr>
          <w:p w14:paraId="6E3088C2" w14:textId="77777777" w:rsidR="005124D6" w:rsidRDefault="005124D6"/>
          <w:p w14:paraId="6AC4EEB2" w14:textId="77777777" w:rsidR="005124D6" w:rsidRDefault="005124D6"/>
        </w:tc>
      </w:tr>
      <w:tr w:rsidR="005124D6" w14:paraId="7E91A484" w14:textId="77777777" w:rsidTr="009E453D">
        <w:tc>
          <w:tcPr>
            <w:tcW w:w="8784" w:type="dxa"/>
            <w:gridSpan w:val="2"/>
          </w:tcPr>
          <w:p w14:paraId="0B2EF9EF" w14:textId="7236A71E" w:rsidR="005124D6" w:rsidRDefault="005124D6">
            <w:r>
              <w:t xml:space="preserve">(b) </w:t>
            </w:r>
            <w:r w:rsidR="003E0DA4">
              <w:t xml:space="preserve">Acne has </w:t>
            </w:r>
            <w:r>
              <w:t xml:space="preserve">failed to improve </w:t>
            </w:r>
            <w:r w:rsidR="003E0DA4">
              <w:t>despite</w:t>
            </w:r>
            <w:r w:rsidR="00B35618">
              <w:t xml:space="preserve"> two</w:t>
            </w:r>
            <w:r>
              <w:t xml:space="preserve"> </w:t>
            </w:r>
            <w:proofErr w:type="gramStart"/>
            <w:r w:rsidR="00AE733D">
              <w:t>12 week</w:t>
            </w:r>
            <w:proofErr w:type="gramEnd"/>
            <w:r w:rsidR="00B35618">
              <w:t xml:space="preserve"> courses</w:t>
            </w:r>
            <w:r w:rsidR="00AE733D">
              <w:t xml:space="preserve"> of </w:t>
            </w:r>
            <w:r w:rsidR="007865AC">
              <w:t>different</w:t>
            </w:r>
            <w:r w:rsidR="00312CD6">
              <w:t xml:space="preserve"> oral antibiotic</w:t>
            </w:r>
            <w:r w:rsidR="007865AC">
              <w:t>s</w:t>
            </w:r>
            <w:r w:rsidR="00312CD6">
              <w:t xml:space="preserve"> from the list below</w:t>
            </w:r>
            <w:r w:rsidR="007865AC">
              <w:t xml:space="preserve"> in combination with a</w:t>
            </w:r>
            <w:r w:rsidR="00312CD6">
              <w:t xml:space="preserve"> </w:t>
            </w:r>
            <w:r w:rsidR="00E979BC">
              <w:t xml:space="preserve">topical </w:t>
            </w:r>
            <w:r>
              <w:t xml:space="preserve">treatment </w:t>
            </w:r>
            <w:r w:rsidR="00E979BC">
              <w:t>(</w:t>
            </w:r>
            <w:r>
              <w:t xml:space="preserve">fixed combination of topical adapalene with benzoyl peroxide (e.g. Epiduo) </w:t>
            </w:r>
            <w:r w:rsidR="003C47FF">
              <w:t xml:space="preserve">or topical azelaic acid (e.g. </w:t>
            </w:r>
            <w:proofErr w:type="spellStart"/>
            <w:r w:rsidR="003C47FF">
              <w:t>Finacea</w:t>
            </w:r>
            <w:proofErr w:type="spellEnd"/>
            <w:r w:rsidR="003C47FF">
              <w:t xml:space="preserve"> or </w:t>
            </w:r>
            <w:proofErr w:type="spellStart"/>
            <w:r w:rsidR="003C47FF">
              <w:t>Skinoren</w:t>
            </w:r>
            <w:proofErr w:type="spellEnd"/>
            <w:r w:rsidR="007865AC">
              <w:t>)?</w:t>
            </w:r>
          </w:p>
        </w:tc>
        <w:tc>
          <w:tcPr>
            <w:tcW w:w="850" w:type="dxa"/>
          </w:tcPr>
          <w:p w14:paraId="4EEE645C" w14:textId="32BCAC69" w:rsidR="005124D6" w:rsidRDefault="005124D6"/>
        </w:tc>
        <w:tc>
          <w:tcPr>
            <w:tcW w:w="851" w:type="dxa"/>
          </w:tcPr>
          <w:p w14:paraId="2A8D01FA" w14:textId="77777777" w:rsidR="005124D6" w:rsidRDefault="005124D6"/>
        </w:tc>
      </w:tr>
      <w:tr w:rsidR="005124D6" w14:paraId="6202B84C" w14:textId="77777777" w:rsidTr="009E453D">
        <w:tc>
          <w:tcPr>
            <w:tcW w:w="4957" w:type="dxa"/>
            <w:vMerge w:val="restart"/>
          </w:tcPr>
          <w:p w14:paraId="3A3356F3" w14:textId="77777777" w:rsidR="005124D6" w:rsidRDefault="005124D6"/>
          <w:p w14:paraId="101D7C17" w14:textId="77777777" w:rsidR="005124D6" w:rsidRDefault="005124D6"/>
        </w:tc>
        <w:tc>
          <w:tcPr>
            <w:tcW w:w="3827" w:type="dxa"/>
          </w:tcPr>
          <w:p w14:paraId="562E302F" w14:textId="77777777" w:rsidR="005124D6" w:rsidRDefault="005124D6">
            <w:r>
              <w:t>Lymecycline 408mg daily</w:t>
            </w:r>
          </w:p>
        </w:tc>
        <w:tc>
          <w:tcPr>
            <w:tcW w:w="850" w:type="dxa"/>
          </w:tcPr>
          <w:p w14:paraId="44FB4CE5" w14:textId="77777777" w:rsidR="005124D6" w:rsidRDefault="005124D6"/>
        </w:tc>
        <w:tc>
          <w:tcPr>
            <w:tcW w:w="851" w:type="dxa"/>
          </w:tcPr>
          <w:p w14:paraId="77C1D484" w14:textId="77777777" w:rsidR="005124D6" w:rsidRDefault="005124D6"/>
        </w:tc>
      </w:tr>
      <w:tr w:rsidR="005124D6" w14:paraId="2E76C292" w14:textId="77777777" w:rsidTr="009E453D"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1D652EA0" w14:textId="77777777" w:rsidR="005124D6" w:rsidRDefault="005124D6"/>
        </w:tc>
        <w:tc>
          <w:tcPr>
            <w:tcW w:w="3827" w:type="dxa"/>
          </w:tcPr>
          <w:p w14:paraId="4DBA82FF" w14:textId="77777777" w:rsidR="005124D6" w:rsidRDefault="005124D6">
            <w:r>
              <w:t>Doxycycline 100mg daily</w:t>
            </w:r>
          </w:p>
        </w:tc>
        <w:tc>
          <w:tcPr>
            <w:tcW w:w="850" w:type="dxa"/>
          </w:tcPr>
          <w:p w14:paraId="0740466F" w14:textId="77777777" w:rsidR="005124D6" w:rsidRDefault="005124D6"/>
        </w:tc>
        <w:tc>
          <w:tcPr>
            <w:tcW w:w="851" w:type="dxa"/>
          </w:tcPr>
          <w:p w14:paraId="47DAC2FA" w14:textId="77777777" w:rsidR="005124D6" w:rsidRDefault="005124D6"/>
        </w:tc>
      </w:tr>
      <w:tr w:rsidR="005124D6" w14:paraId="3AE383F4" w14:textId="77777777" w:rsidTr="009E453D"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1D131509" w14:textId="77777777" w:rsidR="005124D6" w:rsidRDefault="005124D6"/>
        </w:tc>
        <w:tc>
          <w:tcPr>
            <w:tcW w:w="3827" w:type="dxa"/>
          </w:tcPr>
          <w:p w14:paraId="001AC461" w14:textId="77777777" w:rsidR="005124D6" w:rsidRDefault="005124D6">
            <w:r>
              <w:t>Erythromycin 500mg twice daily</w:t>
            </w:r>
          </w:p>
        </w:tc>
        <w:tc>
          <w:tcPr>
            <w:tcW w:w="850" w:type="dxa"/>
          </w:tcPr>
          <w:p w14:paraId="1DEC6301" w14:textId="77777777" w:rsidR="005124D6" w:rsidRDefault="005124D6"/>
        </w:tc>
        <w:tc>
          <w:tcPr>
            <w:tcW w:w="851" w:type="dxa"/>
          </w:tcPr>
          <w:p w14:paraId="109EE5D3" w14:textId="77777777" w:rsidR="005124D6" w:rsidRDefault="005124D6"/>
        </w:tc>
      </w:tr>
      <w:tr w:rsidR="005124D6" w14:paraId="141B76AE" w14:textId="77777777" w:rsidTr="009E453D"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4549F93D" w14:textId="77777777" w:rsidR="005124D6" w:rsidRDefault="005124D6"/>
        </w:tc>
        <w:tc>
          <w:tcPr>
            <w:tcW w:w="3827" w:type="dxa"/>
          </w:tcPr>
          <w:p w14:paraId="41EB6B95" w14:textId="77777777" w:rsidR="005124D6" w:rsidRDefault="005124D6">
            <w:r w:rsidRPr="002A44FD">
              <w:rPr>
                <w:color w:val="0D0D0D" w:themeColor="text1" w:themeTint="F2"/>
              </w:rPr>
              <w:t>Trimethoprim 200mg or 300mg twice daily</w:t>
            </w:r>
          </w:p>
        </w:tc>
        <w:tc>
          <w:tcPr>
            <w:tcW w:w="850" w:type="dxa"/>
          </w:tcPr>
          <w:p w14:paraId="7F8B0579" w14:textId="77777777" w:rsidR="005124D6" w:rsidRDefault="005124D6"/>
        </w:tc>
        <w:tc>
          <w:tcPr>
            <w:tcW w:w="851" w:type="dxa"/>
          </w:tcPr>
          <w:p w14:paraId="135DE4B4" w14:textId="77777777" w:rsidR="005124D6" w:rsidRDefault="005124D6"/>
        </w:tc>
      </w:tr>
      <w:tr w:rsidR="00B4686C" w14:paraId="215BFE4E" w14:textId="77777777" w:rsidTr="00DA178A">
        <w:tc>
          <w:tcPr>
            <w:tcW w:w="10485" w:type="dxa"/>
            <w:gridSpan w:val="4"/>
          </w:tcPr>
          <w:p w14:paraId="16D39875" w14:textId="42D209CD" w:rsidR="00B4686C" w:rsidRDefault="00173920" w:rsidP="005124D6">
            <w:pPr>
              <w:rPr>
                <w:b/>
                <w:bCs/>
              </w:rPr>
            </w:pPr>
            <w:r>
              <w:rPr>
                <w:b/>
                <w:bCs/>
              </w:rPr>
              <w:t>Optional Comments (Please add any commentary you feel may benefit the referral)</w:t>
            </w:r>
          </w:p>
          <w:p w14:paraId="0ECEDDFC" w14:textId="77777777" w:rsidR="00173920" w:rsidRDefault="00173920" w:rsidP="005124D6">
            <w:pPr>
              <w:rPr>
                <w:b/>
                <w:bCs/>
              </w:rPr>
            </w:pPr>
          </w:p>
          <w:p w14:paraId="225F7A8C" w14:textId="77777777" w:rsidR="00205B49" w:rsidRDefault="00205B49" w:rsidP="006B063F">
            <w:pPr>
              <w:jc w:val="center"/>
              <w:rPr>
                <w:b/>
                <w:bCs/>
              </w:rPr>
            </w:pPr>
          </w:p>
          <w:p w14:paraId="380BC36B" w14:textId="77777777" w:rsidR="00B4686C" w:rsidRDefault="00B4686C" w:rsidP="004614DF"/>
          <w:p w14:paraId="6ACFD383" w14:textId="77777777" w:rsidR="008B6E90" w:rsidRDefault="008B6E90" w:rsidP="004614DF"/>
          <w:p w14:paraId="046CC1B1" w14:textId="77777777" w:rsidR="008B6E90" w:rsidRDefault="008B6E90" w:rsidP="004614DF"/>
          <w:p w14:paraId="0B625D42" w14:textId="77777777" w:rsidR="008B6E90" w:rsidRDefault="008B6E90" w:rsidP="004614DF"/>
          <w:p w14:paraId="3FFB28E0" w14:textId="5B4F46F7" w:rsidR="008B6E90" w:rsidRDefault="008B6E90" w:rsidP="004614DF"/>
        </w:tc>
      </w:tr>
      <w:tr w:rsidR="00291DF2" w14:paraId="384DD8F2" w14:textId="77777777" w:rsidTr="00DA178A">
        <w:tc>
          <w:tcPr>
            <w:tcW w:w="10485" w:type="dxa"/>
            <w:gridSpan w:val="4"/>
          </w:tcPr>
          <w:p w14:paraId="3DB047AD" w14:textId="77777777" w:rsidR="00C83526" w:rsidRDefault="00C83526" w:rsidP="004614D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18CBBDE" w14:textId="39C10A2E" w:rsidR="00AB4DF9" w:rsidRDefault="00AB4DF9" w:rsidP="004614DF">
            <w:pPr>
              <w:jc w:val="center"/>
              <w:rPr>
                <w:i/>
                <w:iCs/>
                <w:color w:val="000000" w:themeColor="text1"/>
              </w:rPr>
            </w:pPr>
            <w:r w:rsidRPr="00AB4DF9">
              <w:rPr>
                <w:i/>
                <w:iCs/>
                <w:color w:val="000000" w:themeColor="text1"/>
              </w:rPr>
              <w:t xml:space="preserve">Further information on the treatment pathway for patients with acne can be found </w:t>
            </w:r>
            <w:proofErr w:type="gramStart"/>
            <w:r w:rsidRPr="00AB4DF9">
              <w:rPr>
                <w:i/>
                <w:iCs/>
                <w:color w:val="000000" w:themeColor="text1"/>
              </w:rPr>
              <w:t>here</w:t>
            </w:r>
            <w:proofErr w:type="gramEnd"/>
            <w:r w:rsidRPr="00AB4DF9">
              <w:rPr>
                <w:i/>
                <w:iCs/>
                <w:color w:val="000000" w:themeColor="text1"/>
              </w:rPr>
              <w:t xml:space="preserve"> </w:t>
            </w:r>
          </w:p>
          <w:p w14:paraId="001B7E18" w14:textId="77777777" w:rsidR="00291DF2" w:rsidRDefault="00AB4DF9" w:rsidP="004614DF">
            <w:pPr>
              <w:jc w:val="center"/>
              <w:rPr>
                <w:color w:val="000000" w:themeColor="text1"/>
              </w:rPr>
            </w:pPr>
            <w:r w:rsidRPr="00AB4DF9">
              <w:rPr>
                <w:i/>
                <w:iCs/>
                <w:color w:val="000000" w:themeColor="text1"/>
              </w:rPr>
              <w:t xml:space="preserve"> </w:t>
            </w:r>
            <w:hyperlink r:id="rId5" w:anchor="managing-acne-vulgaris" w:history="1">
              <w:r w:rsidRPr="00AB4DF9">
                <w:rPr>
                  <w:rStyle w:val="Hyperlink"/>
                  <w:color w:val="000000" w:themeColor="text1"/>
                </w:rPr>
                <w:t>Recommendations | Acne vulgaris: management | Guidance | NICE</w:t>
              </w:r>
            </w:hyperlink>
          </w:p>
          <w:p w14:paraId="3BD6BE43" w14:textId="3D62531E" w:rsidR="00C83526" w:rsidRPr="00AB4DF9" w:rsidRDefault="00C83526" w:rsidP="004614D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173920" w14:paraId="6C263C3B" w14:textId="77777777" w:rsidTr="00DA178A">
        <w:tc>
          <w:tcPr>
            <w:tcW w:w="10485" w:type="dxa"/>
            <w:gridSpan w:val="4"/>
          </w:tcPr>
          <w:p w14:paraId="5D06E258" w14:textId="54EF11C2" w:rsidR="00173920" w:rsidRPr="004614DF" w:rsidRDefault="00173920" w:rsidP="004614DF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If </w:t>
            </w:r>
            <w:r w:rsidRPr="004C76AC">
              <w:rPr>
                <w:i/>
                <w:iCs/>
                <w:color w:val="FF0000"/>
              </w:rPr>
              <w:t xml:space="preserve">“yes” </w:t>
            </w:r>
            <w:r>
              <w:rPr>
                <w:i/>
                <w:iCs/>
                <w:color w:val="FF0000"/>
              </w:rPr>
              <w:t>is ticked for (a) and</w:t>
            </w:r>
            <w:r w:rsidRPr="004C76AC">
              <w:rPr>
                <w:i/>
                <w:iCs/>
                <w:color w:val="FF0000"/>
              </w:rPr>
              <w:t xml:space="preserve"> (</w:t>
            </w:r>
            <w:r>
              <w:rPr>
                <w:i/>
                <w:iCs/>
                <w:color w:val="FF0000"/>
              </w:rPr>
              <w:t>b</w:t>
            </w:r>
            <w:r w:rsidRPr="004C76AC">
              <w:rPr>
                <w:i/>
                <w:iCs/>
                <w:color w:val="FF0000"/>
              </w:rPr>
              <w:t xml:space="preserve">) </w:t>
            </w:r>
            <w:r>
              <w:rPr>
                <w:i/>
                <w:iCs/>
                <w:color w:val="FF0000"/>
              </w:rPr>
              <w:t>above</w:t>
            </w:r>
            <w:r w:rsidR="00184CC4">
              <w:rPr>
                <w:i/>
                <w:iCs/>
                <w:color w:val="FF0000"/>
              </w:rPr>
              <w:t>,</w:t>
            </w:r>
            <w:r>
              <w:rPr>
                <w:i/>
                <w:iCs/>
                <w:color w:val="FF0000"/>
              </w:rPr>
              <w:t xml:space="preserve"> move to section B</w:t>
            </w:r>
            <w:r w:rsidRPr="004C76AC">
              <w:rPr>
                <w:i/>
                <w:iCs/>
                <w:color w:val="FF0000"/>
              </w:rPr>
              <w:t>.</w:t>
            </w:r>
          </w:p>
        </w:tc>
      </w:tr>
      <w:tr w:rsidR="00173920" w14:paraId="5BC740D5" w14:textId="77777777" w:rsidTr="00DA178A">
        <w:tc>
          <w:tcPr>
            <w:tcW w:w="10485" w:type="dxa"/>
            <w:gridSpan w:val="4"/>
          </w:tcPr>
          <w:p w14:paraId="39786BAB" w14:textId="3DC13EA3" w:rsidR="00173920" w:rsidRDefault="00173920" w:rsidP="00C83526">
            <w:pPr>
              <w:jc w:val="center"/>
              <w:rPr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SECTION B- </w:t>
            </w:r>
            <w:r w:rsidRPr="00BA14F7">
              <w:rPr>
                <w:b/>
                <w:bCs/>
              </w:rPr>
              <w:t>Mental health history</w:t>
            </w:r>
          </w:p>
        </w:tc>
      </w:tr>
      <w:tr w:rsidR="0047713B" w14:paraId="08D8D779" w14:textId="77777777" w:rsidTr="0033271C">
        <w:tc>
          <w:tcPr>
            <w:tcW w:w="10485" w:type="dxa"/>
            <w:gridSpan w:val="4"/>
          </w:tcPr>
          <w:p w14:paraId="4B975D08" w14:textId="46363C9E" w:rsidR="0047713B" w:rsidRDefault="0047713B" w:rsidP="0047713B">
            <w:r w:rsidRPr="00D31F94">
              <w:rPr>
                <w:i/>
                <w:iCs/>
              </w:rPr>
              <w:t xml:space="preserve">Isotretinoin has </w:t>
            </w:r>
            <w:r>
              <w:rPr>
                <w:i/>
                <w:iCs/>
              </w:rPr>
              <w:t xml:space="preserve">rarely </w:t>
            </w:r>
            <w:r w:rsidRPr="00D31F94">
              <w:rPr>
                <w:i/>
                <w:iCs/>
              </w:rPr>
              <w:t xml:space="preserve">been associated with the development of mood disturbance, anxiety, </w:t>
            </w:r>
            <w:proofErr w:type="gramStart"/>
            <w:r w:rsidRPr="00D31F94">
              <w:rPr>
                <w:i/>
                <w:iCs/>
              </w:rPr>
              <w:t>depression</w:t>
            </w:r>
            <w:proofErr w:type="gramEnd"/>
            <w:r w:rsidRPr="00D31F94">
              <w:rPr>
                <w:i/>
                <w:iCs/>
              </w:rPr>
              <w:t xml:space="preserve"> and suicidal disturbance</w:t>
            </w:r>
            <w:r>
              <w:rPr>
                <w:i/>
                <w:iCs/>
              </w:rPr>
              <w:t xml:space="preserve"> (BNF)</w:t>
            </w:r>
          </w:p>
        </w:tc>
      </w:tr>
      <w:tr w:rsidR="00B37F2B" w14:paraId="326AED40" w14:textId="77777777" w:rsidTr="009E453D">
        <w:tc>
          <w:tcPr>
            <w:tcW w:w="8784" w:type="dxa"/>
            <w:gridSpan w:val="2"/>
          </w:tcPr>
          <w:p w14:paraId="59727502" w14:textId="31DE68A8" w:rsidR="00B37F2B" w:rsidRPr="00D31F94" w:rsidRDefault="00B37F2B" w:rsidP="005124D6">
            <w:pPr>
              <w:rPr>
                <w:i/>
                <w:iCs/>
              </w:rPr>
            </w:pPr>
            <w:bookmarkStart w:id="0" w:name="_Hlk133597183"/>
          </w:p>
        </w:tc>
        <w:tc>
          <w:tcPr>
            <w:tcW w:w="850" w:type="dxa"/>
          </w:tcPr>
          <w:p w14:paraId="16FFB761" w14:textId="36606D81" w:rsidR="00B37F2B" w:rsidRDefault="00205B49" w:rsidP="005124D6">
            <w:r>
              <w:t>Yes</w:t>
            </w:r>
          </w:p>
        </w:tc>
        <w:tc>
          <w:tcPr>
            <w:tcW w:w="851" w:type="dxa"/>
          </w:tcPr>
          <w:p w14:paraId="5B0037D6" w14:textId="6E5FFE27" w:rsidR="00B37F2B" w:rsidRDefault="00205B49">
            <w:r>
              <w:t>No</w:t>
            </w:r>
          </w:p>
        </w:tc>
      </w:tr>
      <w:bookmarkEnd w:id="0"/>
      <w:tr w:rsidR="00B37F2B" w14:paraId="0D29598A" w14:textId="77777777" w:rsidTr="009E453D">
        <w:tc>
          <w:tcPr>
            <w:tcW w:w="8784" w:type="dxa"/>
            <w:gridSpan w:val="2"/>
          </w:tcPr>
          <w:p w14:paraId="410E8271" w14:textId="77777777" w:rsidR="00C33B0D" w:rsidRDefault="000A1E20" w:rsidP="005124D6">
            <w:r>
              <w:t>Has the patient been counselled about the risk of possible psychiatric side effects with isotretinoin?</w:t>
            </w:r>
            <w:r w:rsidR="00BC4669">
              <w:t xml:space="preserve"> </w:t>
            </w:r>
          </w:p>
          <w:p w14:paraId="5796589A" w14:textId="77777777" w:rsidR="00B37F2B" w:rsidRDefault="006E42EF" w:rsidP="005124D6">
            <w:pPr>
              <w:rPr>
                <w:i/>
                <w:iCs/>
              </w:rPr>
            </w:pPr>
            <w:r w:rsidRPr="00C33B0D">
              <w:rPr>
                <w:i/>
                <w:iCs/>
              </w:rPr>
              <w:t xml:space="preserve">MHRA </w:t>
            </w:r>
            <w:r w:rsidR="008F1B0A" w:rsidRPr="00C33B0D">
              <w:rPr>
                <w:i/>
                <w:iCs/>
              </w:rPr>
              <w:t>advise</w:t>
            </w:r>
            <w:r w:rsidR="002D1A66" w:rsidRPr="00C33B0D">
              <w:rPr>
                <w:i/>
                <w:iCs/>
              </w:rPr>
              <w:t xml:space="preserve"> discuss</w:t>
            </w:r>
            <w:r w:rsidRPr="00C33B0D">
              <w:rPr>
                <w:i/>
                <w:iCs/>
              </w:rPr>
              <w:t xml:space="preserve">ion </w:t>
            </w:r>
            <w:r w:rsidR="002D1A66" w:rsidRPr="00C33B0D">
              <w:rPr>
                <w:i/>
                <w:iCs/>
              </w:rPr>
              <w:t>before referral</w:t>
            </w:r>
            <w:r w:rsidR="001369E9">
              <w:t xml:space="preserve"> </w:t>
            </w:r>
            <w:r w:rsidR="00C33B0D">
              <w:t>(r</w:t>
            </w:r>
            <w:r w:rsidR="001244C4" w:rsidRPr="00C33B0D">
              <w:rPr>
                <w:i/>
                <w:iCs/>
              </w:rPr>
              <w:t xml:space="preserve">eferral will </w:t>
            </w:r>
            <w:r w:rsidR="00C61B3C" w:rsidRPr="00C33B0D">
              <w:rPr>
                <w:i/>
                <w:iCs/>
              </w:rPr>
              <w:t>be accepted if not</w:t>
            </w:r>
            <w:r w:rsidR="001244C4" w:rsidRPr="00C33B0D">
              <w:rPr>
                <w:i/>
                <w:iCs/>
              </w:rPr>
              <w:t xml:space="preserve"> completed</w:t>
            </w:r>
            <w:r w:rsidR="00C33B0D">
              <w:rPr>
                <w:i/>
                <w:iCs/>
              </w:rPr>
              <w:t>)</w:t>
            </w:r>
          </w:p>
          <w:p w14:paraId="75F130F8" w14:textId="50C95A34" w:rsidR="00F71AAD" w:rsidRDefault="00F71AAD" w:rsidP="005124D6"/>
        </w:tc>
        <w:tc>
          <w:tcPr>
            <w:tcW w:w="850" w:type="dxa"/>
          </w:tcPr>
          <w:p w14:paraId="40F08012" w14:textId="77777777" w:rsidR="00B37F2B" w:rsidRDefault="00B37F2B" w:rsidP="005124D6"/>
        </w:tc>
        <w:tc>
          <w:tcPr>
            <w:tcW w:w="851" w:type="dxa"/>
          </w:tcPr>
          <w:p w14:paraId="183039E2" w14:textId="1C25EC91" w:rsidR="00B37F2B" w:rsidRDefault="00B37F2B" w:rsidP="005124D6"/>
        </w:tc>
      </w:tr>
      <w:tr w:rsidR="00694222" w14:paraId="12B1CBA1" w14:textId="77777777" w:rsidTr="002B69A3">
        <w:trPr>
          <w:trHeight w:val="576"/>
        </w:trPr>
        <w:tc>
          <w:tcPr>
            <w:tcW w:w="8784" w:type="dxa"/>
            <w:gridSpan w:val="2"/>
          </w:tcPr>
          <w:p w14:paraId="1D62D986" w14:textId="77777777" w:rsidR="006B4AAA" w:rsidRDefault="000A1E20" w:rsidP="00694222">
            <w:r>
              <w:t>Does the patient have a history of mental illness?</w:t>
            </w:r>
            <w:r w:rsidR="001C10FE">
              <w:t xml:space="preserve"> </w:t>
            </w:r>
          </w:p>
          <w:p w14:paraId="3A4C0BF7" w14:textId="38069674" w:rsidR="00694222" w:rsidRPr="00184CC4" w:rsidRDefault="00DB1322" w:rsidP="00694222">
            <w:pPr>
              <w:rPr>
                <w:u w:val="single"/>
              </w:rPr>
            </w:pPr>
            <w:r w:rsidRPr="00184CC4">
              <w:rPr>
                <w:u w:val="single"/>
              </w:rPr>
              <w:t>If yes</w:t>
            </w:r>
            <w:r w:rsidR="00184CC4" w:rsidRPr="00184CC4">
              <w:rPr>
                <w:u w:val="single"/>
              </w:rPr>
              <w:t>,</w:t>
            </w:r>
            <w:r w:rsidRPr="00184CC4">
              <w:rPr>
                <w:u w:val="single"/>
              </w:rPr>
              <w:t xml:space="preserve"> please </w:t>
            </w:r>
            <w:r w:rsidR="006B4AAA" w:rsidRPr="00184CC4">
              <w:rPr>
                <w:u w:val="single"/>
              </w:rPr>
              <w:t xml:space="preserve">describe </w:t>
            </w:r>
            <w:r w:rsidRPr="00184CC4">
              <w:rPr>
                <w:u w:val="single"/>
              </w:rPr>
              <w:t>below</w:t>
            </w:r>
            <w:r w:rsidR="00184CC4" w:rsidRPr="00184CC4">
              <w:rPr>
                <w:u w:val="single"/>
              </w:rPr>
              <w:t>:</w:t>
            </w:r>
          </w:p>
          <w:p w14:paraId="1111614B" w14:textId="3DD1F25F" w:rsidR="00F71AAD" w:rsidRPr="0007068B" w:rsidDel="00A42E2F" w:rsidRDefault="00F71AAD" w:rsidP="00694222">
            <w:pPr>
              <w:rPr>
                <w:u w:val="single"/>
              </w:rPr>
            </w:pPr>
          </w:p>
        </w:tc>
        <w:tc>
          <w:tcPr>
            <w:tcW w:w="850" w:type="dxa"/>
          </w:tcPr>
          <w:p w14:paraId="62CE2B53" w14:textId="77777777" w:rsidR="00694222" w:rsidRDefault="00694222" w:rsidP="00694222"/>
        </w:tc>
        <w:tc>
          <w:tcPr>
            <w:tcW w:w="851" w:type="dxa"/>
          </w:tcPr>
          <w:p w14:paraId="1A60E805" w14:textId="77777777" w:rsidR="00694222" w:rsidRDefault="00694222" w:rsidP="00694222"/>
        </w:tc>
      </w:tr>
      <w:tr w:rsidR="00DB1322" w14:paraId="42059B32" w14:textId="77777777" w:rsidTr="006B339C">
        <w:trPr>
          <w:trHeight w:val="576"/>
        </w:trPr>
        <w:tc>
          <w:tcPr>
            <w:tcW w:w="10485" w:type="dxa"/>
            <w:gridSpan w:val="4"/>
          </w:tcPr>
          <w:p w14:paraId="0C68B5C1" w14:textId="77777777" w:rsidR="00DB1322" w:rsidRDefault="00DB1322" w:rsidP="006B063F">
            <w:r>
              <w:t>Comment:</w:t>
            </w:r>
          </w:p>
          <w:p w14:paraId="42FA7BC7" w14:textId="77777777" w:rsidR="008B6E90" w:rsidRDefault="008B6E90" w:rsidP="006B063F"/>
          <w:p w14:paraId="17B67779" w14:textId="77777777" w:rsidR="008B6E90" w:rsidRDefault="008B6E90" w:rsidP="006B063F"/>
          <w:p w14:paraId="514E404D" w14:textId="503E9862" w:rsidR="008B6E90" w:rsidRDefault="008B6E90" w:rsidP="006B063F"/>
        </w:tc>
      </w:tr>
      <w:tr w:rsidR="006B063F" w14:paraId="669D1A5F" w14:textId="77777777" w:rsidTr="00446EE9">
        <w:trPr>
          <w:trHeight w:val="576"/>
        </w:trPr>
        <w:tc>
          <w:tcPr>
            <w:tcW w:w="8784" w:type="dxa"/>
            <w:gridSpan w:val="2"/>
          </w:tcPr>
          <w:p w14:paraId="793532B0" w14:textId="0B8FA5D0" w:rsidR="000A1E20" w:rsidRDefault="000A1E20" w:rsidP="000A1E20">
            <w:r>
              <w:t>Do you have any current concerns regarding the patient’s mental health?</w:t>
            </w:r>
          </w:p>
          <w:p w14:paraId="5923FA10" w14:textId="66B139E3" w:rsidR="00F71AAD" w:rsidRPr="0007068B" w:rsidDel="00A42E2F" w:rsidRDefault="000A1E20" w:rsidP="000A1E20">
            <w:pPr>
              <w:rPr>
                <w:u w:val="single"/>
              </w:rPr>
            </w:pPr>
            <w:r w:rsidRPr="0007068B">
              <w:rPr>
                <w:u w:val="single"/>
              </w:rPr>
              <w:t>If yes</w:t>
            </w:r>
            <w:r w:rsidR="00184CC4">
              <w:rPr>
                <w:u w:val="single"/>
              </w:rPr>
              <w:t>,</w:t>
            </w:r>
            <w:r w:rsidRPr="0007068B">
              <w:rPr>
                <w:u w:val="single"/>
              </w:rPr>
              <w:t xml:space="preserve"> please describe below</w:t>
            </w:r>
            <w:r w:rsidR="00184CC4">
              <w:rPr>
                <w:u w:val="single"/>
              </w:rPr>
              <w:t>:</w:t>
            </w:r>
          </w:p>
        </w:tc>
        <w:tc>
          <w:tcPr>
            <w:tcW w:w="850" w:type="dxa"/>
          </w:tcPr>
          <w:p w14:paraId="543D183F" w14:textId="77777777" w:rsidR="006B063F" w:rsidRDefault="006B063F" w:rsidP="006B063F"/>
        </w:tc>
        <w:tc>
          <w:tcPr>
            <w:tcW w:w="851" w:type="dxa"/>
          </w:tcPr>
          <w:p w14:paraId="46D7F9F6" w14:textId="77777777" w:rsidR="006B063F" w:rsidRDefault="006B063F" w:rsidP="006B063F"/>
        </w:tc>
      </w:tr>
      <w:tr w:rsidR="006B063F" w14:paraId="563E0ECF" w14:textId="77777777" w:rsidTr="005124D6">
        <w:tc>
          <w:tcPr>
            <w:tcW w:w="10485" w:type="dxa"/>
            <w:gridSpan w:val="4"/>
          </w:tcPr>
          <w:p w14:paraId="2FE8143F" w14:textId="77777777" w:rsidR="006B063F" w:rsidRDefault="0007068B" w:rsidP="00B37F2B">
            <w:r>
              <w:t>Comment:</w:t>
            </w:r>
          </w:p>
          <w:p w14:paraId="1DBB4F77" w14:textId="77777777" w:rsidR="0007068B" w:rsidRDefault="0007068B" w:rsidP="00B37F2B"/>
          <w:p w14:paraId="121DC60C" w14:textId="77777777" w:rsidR="0007068B" w:rsidRDefault="0007068B" w:rsidP="00B37F2B"/>
          <w:p w14:paraId="50187B46" w14:textId="35E44AFE" w:rsidR="0007068B" w:rsidRDefault="0007068B" w:rsidP="00B37F2B"/>
        </w:tc>
      </w:tr>
      <w:tr w:rsidR="00B37F2B" w14:paraId="23F42C5C" w14:textId="77777777" w:rsidTr="005124D6">
        <w:tc>
          <w:tcPr>
            <w:tcW w:w="10485" w:type="dxa"/>
            <w:gridSpan w:val="4"/>
          </w:tcPr>
          <w:p w14:paraId="61DADA43" w14:textId="3D17CBB7" w:rsidR="00B37F2B" w:rsidRPr="004C76AC" w:rsidRDefault="006B063F" w:rsidP="005124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If </w:t>
            </w:r>
            <w:r w:rsidR="0007068B">
              <w:rPr>
                <w:color w:val="FF0000"/>
              </w:rPr>
              <w:t>the patient’s current mental health status is felt</w:t>
            </w:r>
            <w:r>
              <w:rPr>
                <w:color w:val="FF0000"/>
              </w:rPr>
              <w:t xml:space="preserve"> to be safe to commence </w:t>
            </w:r>
            <w:proofErr w:type="gramStart"/>
            <w:r w:rsidR="00184CC4">
              <w:rPr>
                <w:color w:val="FF0000"/>
              </w:rPr>
              <w:t>I</w:t>
            </w:r>
            <w:r>
              <w:rPr>
                <w:color w:val="FF0000"/>
              </w:rPr>
              <w:t>sotretinoin</w:t>
            </w:r>
            <w:proofErr w:type="gramEnd"/>
            <w:r>
              <w:rPr>
                <w:color w:val="FF0000"/>
              </w:rPr>
              <w:t xml:space="preserve"> please move to section C.</w:t>
            </w:r>
          </w:p>
        </w:tc>
      </w:tr>
      <w:tr w:rsidR="005124D6" w14:paraId="315EF985" w14:textId="77777777" w:rsidTr="009E453D">
        <w:tc>
          <w:tcPr>
            <w:tcW w:w="10485" w:type="dxa"/>
            <w:gridSpan w:val="4"/>
          </w:tcPr>
          <w:p w14:paraId="2013C450" w14:textId="1A5D971D" w:rsidR="005124D6" w:rsidRPr="00BA14F7" w:rsidRDefault="005124D6">
            <w:pPr>
              <w:jc w:val="center"/>
              <w:rPr>
                <w:b/>
                <w:bCs/>
              </w:rPr>
            </w:pPr>
          </w:p>
        </w:tc>
      </w:tr>
      <w:tr w:rsidR="00205B49" w14:paraId="0F08F38B" w14:textId="77777777" w:rsidTr="00D96831">
        <w:tc>
          <w:tcPr>
            <w:tcW w:w="10485" w:type="dxa"/>
            <w:gridSpan w:val="4"/>
          </w:tcPr>
          <w:p w14:paraId="774AE390" w14:textId="1BE826C2" w:rsidR="00C61A99" w:rsidRDefault="00205B49" w:rsidP="00C61A99">
            <w:pPr>
              <w:jc w:val="center"/>
            </w:pPr>
            <w:r>
              <w:rPr>
                <w:b/>
                <w:bCs/>
              </w:rPr>
              <w:t xml:space="preserve">SECTION C </w:t>
            </w:r>
          </w:p>
        </w:tc>
      </w:tr>
      <w:tr w:rsidR="005124D6" w14:paraId="5717EB96" w14:textId="77777777" w:rsidTr="009E453D">
        <w:tc>
          <w:tcPr>
            <w:tcW w:w="10485" w:type="dxa"/>
            <w:gridSpan w:val="4"/>
          </w:tcPr>
          <w:p w14:paraId="2F07BE2F" w14:textId="5814DC1B" w:rsidR="005124D6" w:rsidRPr="008D247B" w:rsidRDefault="008D247B">
            <w:pPr>
              <w:rPr>
                <w:rFonts w:cstheme="minorHAnsi"/>
                <w:i/>
                <w:iCs/>
              </w:rPr>
            </w:pPr>
            <w:r w:rsidRPr="008D247B">
              <w:rPr>
                <w:rFonts w:cstheme="minorHAnsi"/>
                <w:i/>
                <w:iCs/>
                <w:color w:val="0E0E0E"/>
                <w:shd w:val="clear" w:color="auto" w:fill="FFFFFF"/>
              </w:rPr>
              <w:t xml:space="preserve">An EU-wide review has concluded that on rare occasions, oral isotretinoin, indicated for severe acne, may cause sexual side-effects, including erectile dysfunction and decreased </w:t>
            </w:r>
            <w:proofErr w:type="gramStart"/>
            <w:r w:rsidRPr="008D247B">
              <w:rPr>
                <w:rFonts w:cstheme="minorHAnsi"/>
                <w:i/>
                <w:iCs/>
                <w:color w:val="0E0E0E"/>
                <w:shd w:val="clear" w:color="auto" w:fill="FFFFFF"/>
              </w:rPr>
              <w:t>libido  (</w:t>
            </w:r>
            <w:proofErr w:type="gramEnd"/>
            <w:r w:rsidRPr="008D247B">
              <w:rPr>
                <w:rFonts w:cstheme="minorHAnsi"/>
                <w:i/>
                <w:iCs/>
                <w:color w:val="0E0E0E"/>
                <w:shd w:val="clear" w:color="auto" w:fill="FFFFFF"/>
              </w:rPr>
              <w:t>BNF)</w:t>
            </w:r>
          </w:p>
        </w:tc>
      </w:tr>
      <w:tr w:rsidR="006B063F" w14:paraId="5E6456CA" w14:textId="77777777" w:rsidTr="009E453D">
        <w:trPr>
          <w:trHeight w:val="484"/>
        </w:trPr>
        <w:tc>
          <w:tcPr>
            <w:tcW w:w="8784" w:type="dxa"/>
            <w:gridSpan w:val="2"/>
          </w:tcPr>
          <w:p w14:paraId="62F79592" w14:textId="77777777" w:rsidR="006B063F" w:rsidRDefault="006B063F" w:rsidP="005124D6"/>
        </w:tc>
        <w:tc>
          <w:tcPr>
            <w:tcW w:w="850" w:type="dxa"/>
          </w:tcPr>
          <w:p w14:paraId="4F31EB76" w14:textId="6974B7CB" w:rsidR="006B063F" w:rsidRDefault="00205B49" w:rsidP="005124D6">
            <w:r>
              <w:t>Yes</w:t>
            </w:r>
          </w:p>
        </w:tc>
        <w:tc>
          <w:tcPr>
            <w:tcW w:w="851" w:type="dxa"/>
          </w:tcPr>
          <w:p w14:paraId="4922FD83" w14:textId="675F2615" w:rsidR="006B063F" w:rsidRDefault="00205B49" w:rsidP="005124D6">
            <w:r>
              <w:t>No</w:t>
            </w:r>
          </w:p>
        </w:tc>
      </w:tr>
      <w:tr w:rsidR="008D247B" w14:paraId="3E02C21F" w14:textId="77777777" w:rsidTr="009E453D">
        <w:trPr>
          <w:trHeight w:val="746"/>
        </w:trPr>
        <w:tc>
          <w:tcPr>
            <w:tcW w:w="8784" w:type="dxa"/>
            <w:gridSpan w:val="2"/>
          </w:tcPr>
          <w:p w14:paraId="05A96D49" w14:textId="77777777" w:rsidR="008D247B" w:rsidRDefault="002A3CBF">
            <w:r>
              <w:t>Has the patient been counselled about the possible risk of sexual dysfunction with isotretinoin?</w:t>
            </w:r>
          </w:p>
          <w:p w14:paraId="262F1EA1" w14:textId="4FD2343A" w:rsidR="00F71AAD" w:rsidRDefault="00F71AAD">
            <w:r w:rsidRPr="00C33B0D">
              <w:rPr>
                <w:i/>
                <w:iCs/>
              </w:rPr>
              <w:t>MHRA advise discussion before referral</w:t>
            </w:r>
            <w:r>
              <w:t xml:space="preserve"> (r</w:t>
            </w:r>
            <w:r w:rsidRPr="00C33B0D">
              <w:rPr>
                <w:i/>
                <w:iCs/>
              </w:rPr>
              <w:t>eferral will be accepted if not completed</w:t>
            </w:r>
            <w:r>
              <w:rPr>
                <w:i/>
                <w:iCs/>
              </w:rPr>
              <w:t>)</w:t>
            </w:r>
          </w:p>
        </w:tc>
        <w:tc>
          <w:tcPr>
            <w:tcW w:w="850" w:type="dxa"/>
          </w:tcPr>
          <w:p w14:paraId="78B6C414" w14:textId="77777777" w:rsidR="008D247B" w:rsidRDefault="008D247B"/>
        </w:tc>
        <w:tc>
          <w:tcPr>
            <w:tcW w:w="851" w:type="dxa"/>
          </w:tcPr>
          <w:p w14:paraId="168D18F2" w14:textId="77777777" w:rsidR="008D247B" w:rsidRDefault="008D247B"/>
        </w:tc>
      </w:tr>
      <w:tr w:rsidR="00C61A99" w14:paraId="64544EFA" w14:textId="77777777" w:rsidTr="00EA2881">
        <w:trPr>
          <w:trHeight w:val="746"/>
        </w:trPr>
        <w:tc>
          <w:tcPr>
            <w:tcW w:w="10485" w:type="dxa"/>
            <w:gridSpan w:val="4"/>
          </w:tcPr>
          <w:p w14:paraId="3CE97C5A" w14:textId="216476FE" w:rsidR="00C61A99" w:rsidRPr="00C61A99" w:rsidRDefault="00C61A99" w:rsidP="00C61A99">
            <w:pPr>
              <w:jc w:val="center"/>
              <w:rPr>
                <w:b/>
                <w:bCs/>
              </w:rPr>
            </w:pPr>
            <w:r w:rsidRPr="00866D5F">
              <w:rPr>
                <w:b/>
                <w:bCs/>
              </w:rPr>
              <w:t>Contraception</w:t>
            </w:r>
            <w:r>
              <w:rPr>
                <w:b/>
                <w:bCs/>
              </w:rPr>
              <w:t xml:space="preserve"> (</w:t>
            </w:r>
            <w:r w:rsidRPr="00866D5F">
              <w:rPr>
                <w:b/>
                <w:bCs/>
              </w:rPr>
              <w:t>female patients / patients with a uterus</w:t>
            </w:r>
            <w:r>
              <w:rPr>
                <w:b/>
                <w:bCs/>
              </w:rPr>
              <w:t>)</w:t>
            </w:r>
          </w:p>
        </w:tc>
      </w:tr>
      <w:tr w:rsidR="005124D6" w14:paraId="5846D00F" w14:textId="77777777" w:rsidTr="009E453D">
        <w:trPr>
          <w:trHeight w:val="746"/>
        </w:trPr>
        <w:tc>
          <w:tcPr>
            <w:tcW w:w="8784" w:type="dxa"/>
            <w:gridSpan w:val="2"/>
          </w:tcPr>
          <w:p w14:paraId="1FF53072" w14:textId="102AE05C" w:rsidR="005124D6" w:rsidRDefault="005124D6">
            <w:r>
              <w:t xml:space="preserve">Is the patient currently on contraception and planning </w:t>
            </w:r>
            <w:r w:rsidR="006B063F">
              <w:t>willing to remain on this until review and whilst on a course of isotretinoin and for 5 weeks afterwards?</w:t>
            </w:r>
          </w:p>
        </w:tc>
        <w:tc>
          <w:tcPr>
            <w:tcW w:w="850" w:type="dxa"/>
          </w:tcPr>
          <w:p w14:paraId="171A799F" w14:textId="628B958D" w:rsidR="005124D6" w:rsidRDefault="005124D6"/>
        </w:tc>
        <w:tc>
          <w:tcPr>
            <w:tcW w:w="851" w:type="dxa"/>
          </w:tcPr>
          <w:p w14:paraId="6DB873FE" w14:textId="77777777" w:rsidR="005124D6" w:rsidRDefault="005124D6"/>
        </w:tc>
      </w:tr>
      <w:tr w:rsidR="006B063F" w14:paraId="305214CB" w14:textId="77777777" w:rsidTr="009A7B2E">
        <w:trPr>
          <w:trHeight w:val="746"/>
        </w:trPr>
        <w:tc>
          <w:tcPr>
            <w:tcW w:w="10485" w:type="dxa"/>
            <w:gridSpan w:val="4"/>
          </w:tcPr>
          <w:p w14:paraId="6E0AD31E" w14:textId="3AAC91E1" w:rsidR="006B063F" w:rsidRDefault="006B063F">
            <w:r>
              <w:rPr>
                <w:color w:val="FF0000"/>
              </w:rPr>
              <w:t>If the answer to the above</w:t>
            </w:r>
            <w:r w:rsidR="00417A0B">
              <w:rPr>
                <w:color w:val="FF0000"/>
              </w:rPr>
              <w:t xml:space="preserve"> question</w:t>
            </w:r>
            <w:r w:rsidR="007C46A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is “no” please </w:t>
            </w:r>
            <w:r w:rsidR="00771C98">
              <w:rPr>
                <w:color w:val="FF0000"/>
              </w:rPr>
              <w:t xml:space="preserve">strongly </w:t>
            </w:r>
            <w:r>
              <w:rPr>
                <w:color w:val="FF0000"/>
              </w:rPr>
              <w:t>consider starting the patient on a suitable contraceptive that they would be willing to remain on until 5 weeks following a course of isotretinoin</w:t>
            </w:r>
          </w:p>
        </w:tc>
      </w:tr>
    </w:tbl>
    <w:p w14:paraId="5E5A023C" w14:textId="77777777" w:rsidR="00BD3643" w:rsidRDefault="00BD3643"/>
    <w:p w14:paraId="120E394B" w14:textId="77777777" w:rsidR="00A85967" w:rsidRDefault="00A85967"/>
    <w:p w14:paraId="332AEDDB" w14:textId="77777777" w:rsidR="00A85967" w:rsidRPr="00F40BEA" w:rsidRDefault="00A85967"/>
    <w:sectPr w:rsidR="00A85967" w:rsidRPr="00F40BEA" w:rsidSect="00BA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4FE0"/>
    <w:multiLevelType w:val="hybridMultilevel"/>
    <w:tmpl w:val="7256DA60"/>
    <w:lvl w:ilvl="0" w:tplc="212A9D4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99D31AC"/>
    <w:multiLevelType w:val="hybridMultilevel"/>
    <w:tmpl w:val="CC103D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474E"/>
    <w:multiLevelType w:val="hybridMultilevel"/>
    <w:tmpl w:val="62DADDC4"/>
    <w:lvl w:ilvl="0" w:tplc="D7626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4AF7"/>
    <w:multiLevelType w:val="hybridMultilevel"/>
    <w:tmpl w:val="43B85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F649D"/>
    <w:multiLevelType w:val="hybridMultilevel"/>
    <w:tmpl w:val="5510BC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1907"/>
    <w:multiLevelType w:val="hybridMultilevel"/>
    <w:tmpl w:val="4CD017AA"/>
    <w:lvl w:ilvl="0" w:tplc="D7626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401697">
    <w:abstractNumId w:val="2"/>
  </w:num>
  <w:num w:numId="2" w16cid:durableId="982931885">
    <w:abstractNumId w:val="4"/>
  </w:num>
  <w:num w:numId="3" w16cid:durableId="1415007975">
    <w:abstractNumId w:val="5"/>
  </w:num>
  <w:num w:numId="4" w16cid:durableId="693729003">
    <w:abstractNumId w:val="1"/>
  </w:num>
  <w:num w:numId="5" w16cid:durableId="1968581795">
    <w:abstractNumId w:val="0"/>
  </w:num>
  <w:num w:numId="6" w16cid:durableId="155215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18"/>
    <w:rsid w:val="00031DF8"/>
    <w:rsid w:val="00051C02"/>
    <w:rsid w:val="0007068B"/>
    <w:rsid w:val="000749A3"/>
    <w:rsid w:val="000A1E20"/>
    <w:rsid w:val="000F6E7F"/>
    <w:rsid w:val="001244C4"/>
    <w:rsid w:val="001369E9"/>
    <w:rsid w:val="0016540E"/>
    <w:rsid w:val="00173920"/>
    <w:rsid w:val="00184CC4"/>
    <w:rsid w:val="001C10FE"/>
    <w:rsid w:val="001D4FA0"/>
    <w:rsid w:val="00205B49"/>
    <w:rsid w:val="00210584"/>
    <w:rsid w:val="00231B4B"/>
    <w:rsid w:val="00291DF2"/>
    <w:rsid w:val="002A3CBF"/>
    <w:rsid w:val="002A3F93"/>
    <w:rsid w:val="002A44FD"/>
    <w:rsid w:val="002D1A66"/>
    <w:rsid w:val="002D6945"/>
    <w:rsid w:val="00312CD6"/>
    <w:rsid w:val="003B1C1E"/>
    <w:rsid w:val="003C47FF"/>
    <w:rsid w:val="003E0DA4"/>
    <w:rsid w:val="00417A0B"/>
    <w:rsid w:val="004614DF"/>
    <w:rsid w:val="0047713B"/>
    <w:rsid w:val="004C76AC"/>
    <w:rsid w:val="004F2AA4"/>
    <w:rsid w:val="005112EC"/>
    <w:rsid w:val="005124D6"/>
    <w:rsid w:val="00530253"/>
    <w:rsid w:val="00536869"/>
    <w:rsid w:val="005D0A20"/>
    <w:rsid w:val="005F5B1B"/>
    <w:rsid w:val="00605B1B"/>
    <w:rsid w:val="00647B82"/>
    <w:rsid w:val="00694222"/>
    <w:rsid w:val="006B063F"/>
    <w:rsid w:val="006B4AAA"/>
    <w:rsid w:val="006C5518"/>
    <w:rsid w:val="006E42EF"/>
    <w:rsid w:val="007266BE"/>
    <w:rsid w:val="007500D9"/>
    <w:rsid w:val="00771C98"/>
    <w:rsid w:val="007865AC"/>
    <w:rsid w:val="007C46AC"/>
    <w:rsid w:val="007F3FB2"/>
    <w:rsid w:val="008353ED"/>
    <w:rsid w:val="00866D5F"/>
    <w:rsid w:val="00870C6E"/>
    <w:rsid w:val="008B6E90"/>
    <w:rsid w:val="008D247B"/>
    <w:rsid w:val="008F1B0A"/>
    <w:rsid w:val="009206F4"/>
    <w:rsid w:val="009C505C"/>
    <w:rsid w:val="009E453D"/>
    <w:rsid w:val="00A85967"/>
    <w:rsid w:val="00AA0BB0"/>
    <w:rsid w:val="00AB4DF9"/>
    <w:rsid w:val="00AE733D"/>
    <w:rsid w:val="00B35618"/>
    <w:rsid w:val="00B37F2B"/>
    <w:rsid w:val="00B4686C"/>
    <w:rsid w:val="00B80A6B"/>
    <w:rsid w:val="00BA14F7"/>
    <w:rsid w:val="00BA7AA8"/>
    <w:rsid w:val="00BC4669"/>
    <w:rsid w:val="00BD3643"/>
    <w:rsid w:val="00C33B0D"/>
    <w:rsid w:val="00C357C0"/>
    <w:rsid w:val="00C61A99"/>
    <w:rsid w:val="00C61B3C"/>
    <w:rsid w:val="00C83526"/>
    <w:rsid w:val="00CC1CEF"/>
    <w:rsid w:val="00D02ED6"/>
    <w:rsid w:val="00D31F94"/>
    <w:rsid w:val="00DB1322"/>
    <w:rsid w:val="00DB22A0"/>
    <w:rsid w:val="00DB5482"/>
    <w:rsid w:val="00DE1EE6"/>
    <w:rsid w:val="00E245B9"/>
    <w:rsid w:val="00E53117"/>
    <w:rsid w:val="00E979BC"/>
    <w:rsid w:val="00F40BEA"/>
    <w:rsid w:val="00F52341"/>
    <w:rsid w:val="00F64153"/>
    <w:rsid w:val="00F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18C2"/>
  <w15:chartTrackingRefBased/>
  <w15:docId w15:val="{96C8BB0E-8081-4EA0-BEAF-D4C8AE5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53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ng198/chapter/Recommend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Healy</dc:creator>
  <cp:keywords/>
  <dc:description/>
  <cp:lastModifiedBy>DAVIES, Matthew (NHS HAMPSHIRE AND ISLE OF WIGHT ICB - D9Y0V)</cp:lastModifiedBy>
  <cp:revision>2</cp:revision>
  <dcterms:created xsi:type="dcterms:W3CDTF">2023-05-18T07:11:00Z</dcterms:created>
  <dcterms:modified xsi:type="dcterms:W3CDTF">2023-05-18T07:11:00Z</dcterms:modified>
</cp:coreProperties>
</file>