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A52A" w14:textId="77777777" w:rsidR="00277228" w:rsidRPr="00FF3AB4" w:rsidRDefault="00277228" w:rsidP="00277228">
      <w:pPr>
        <w:spacing w:before="124" w:line="302" w:lineRule="auto"/>
        <w:ind w:right="97"/>
        <w:jc w:val="center"/>
        <w:rPr>
          <w:rFonts w:cstheme="minorHAnsi"/>
          <w:b/>
          <w:sz w:val="44"/>
          <w:szCs w:val="44"/>
          <w:u w:val="thick"/>
        </w:rPr>
      </w:pPr>
    </w:p>
    <w:p w14:paraId="4E7C18B2" w14:textId="77777777" w:rsidR="00277228" w:rsidRPr="00FF3AB4" w:rsidRDefault="00277228" w:rsidP="00277228">
      <w:pPr>
        <w:spacing w:before="124" w:line="302" w:lineRule="auto"/>
        <w:ind w:right="97"/>
        <w:jc w:val="center"/>
        <w:rPr>
          <w:rFonts w:cstheme="minorHAnsi"/>
          <w:b/>
          <w:sz w:val="44"/>
          <w:szCs w:val="44"/>
          <w:u w:val="thick"/>
        </w:rPr>
      </w:pPr>
    </w:p>
    <w:p w14:paraId="19A5E977" w14:textId="0646356C" w:rsidR="00277228" w:rsidRPr="00FF3AB4" w:rsidRDefault="00277228" w:rsidP="00277228">
      <w:pPr>
        <w:spacing w:before="124" w:line="302" w:lineRule="auto"/>
        <w:ind w:right="97"/>
        <w:jc w:val="center"/>
        <w:rPr>
          <w:rFonts w:cstheme="minorHAnsi"/>
          <w:b/>
          <w:sz w:val="44"/>
          <w:szCs w:val="44"/>
        </w:rPr>
      </w:pPr>
      <w:r w:rsidRPr="00FF3AB4">
        <w:rPr>
          <w:rFonts w:cstheme="minorHAnsi"/>
          <w:b/>
          <w:sz w:val="44"/>
          <w:szCs w:val="44"/>
          <w:u w:val="thick"/>
        </w:rPr>
        <w:t>Southampton Primary Care Limited Acute Respiratory Infection Hub</w:t>
      </w:r>
    </w:p>
    <w:p w14:paraId="0369D875" w14:textId="494FE8E1" w:rsidR="00277228" w:rsidRPr="00FF3AB4" w:rsidRDefault="00277228" w:rsidP="00277228">
      <w:pPr>
        <w:spacing w:before="124" w:line="302" w:lineRule="auto"/>
        <w:ind w:right="97"/>
        <w:jc w:val="center"/>
        <w:rPr>
          <w:rFonts w:cstheme="minorHAnsi"/>
          <w:b/>
          <w:sz w:val="44"/>
          <w:szCs w:val="44"/>
        </w:rPr>
      </w:pPr>
      <w:r w:rsidRPr="00FF3AB4">
        <w:rPr>
          <w:rFonts w:cstheme="minorHAnsi"/>
          <w:sz w:val="44"/>
          <w:szCs w:val="44"/>
        </w:rPr>
        <w:t>Standard Operating Procedure</w:t>
      </w:r>
    </w:p>
    <w:sdt>
      <w:sdtPr>
        <w:rPr>
          <w:rFonts w:asciiTheme="minorHAnsi" w:eastAsia="Calibri" w:hAnsiTheme="minorHAnsi" w:cstheme="minorHAnsi"/>
          <w:color w:val="auto"/>
          <w:sz w:val="28"/>
          <w:szCs w:val="28"/>
          <w:lang w:val="en-GB"/>
        </w:rPr>
        <w:id w:val="-1219050552"/>
        <w:docPartObj>
          <w:docPartGallery w:val="Table of Contents"/>
          <w:docPartUnique/>
        </w:docPartObj>
      </w:sdtPr>
      <w:sdtEndPr>
        <w:rPr>
          <w:rFonts w:eastAsiaTheme="minorHAnsi"/>
          <w:b/>
          <w:bCs/>
          <w:noProof/>
          <w:sz w:val="20"/>
          <w:szCs w:val="20"/>
        </w:rPr>
      </w:sdtEndPr>
      <w:sdtContent>
        <w:p w14:paraId="186784A6" w14:textId="77777777" w:rsidR="00277228" w:rsidRPr="00FF3AB4" w:rsidRDefault="00277228" w:rsidP="00277228">
          <w:pPr>
            <w:pStyle w:val="TOCHeading"/>
            <w:ind w:right="97"/>
            <w:rPr>
              <w:rFonts w:asciiTheme="minorHAnsi" w:hAnsiTheme="minorHAnsi" w:cstheme="minorHAnsi"/>
              <w:b/>
              <w:bCs/>
              <w:color w:val="auto"/>
              <w:sz w:val="28"/>
              <w:szCs w:val="28"/>
            </w:rPr>
          </w:pPr>
          <w:r w:rsidRPr="00FF3AB4">
            <w:rPr>
              <w:rFonts w:asciiTheme="minorHAnsi" w:hAnsiTheme="minorHAnsi" w:cstheme="minorHAnsi"/>
              <w:b/>
              <w:bCs/>
              <w:color w:val="auto"/>
              <w:sz w:val="28"/>
              <w:szCs w:val="28"/>
            </w:rPr>
            <w:t>Contents</w:t>
          </w:r>
        </w:p>
        <w:p w14:paraId="56589830" w14:textId="77777777" w:rsidR="00277228" w:rsidRPr="00FF3AB4" w:rsidRDefault="00277228" w:rsidP="00277228">
          <w:pPr>
            <w:pStyle w:val="TOC1"/>
            <w:tabs>
              <w:tab w:val="right" w:leader="dot" w:pos="9565"/>
            </w:tabs>
            <w:ind w:left="0"/>
            <w:rPr>
              <w:rFonts w:asciiTheme="minorHAnsi" w:hAnsiTheme="minorHAnsi" w:cstheme="minorHAnsi"/>
              <w:sz w:val="28"/>
              <w:szCs w:val="28"/>
            </w:rPr>
          </w:pPr>
          <w:r w:rsidRPr="00FF3AB4">
            <w:rPr>
              <w:rFonts w:asciiTheme="minorHAnsi" w:hAnsiTheme="minorHAnsi" w:cstheme="minorHAnsi"/>
              <w:sz w:val="28"/>
              <w:szCs w:val="28"/>
            </w:rPr>
            <w:fldChar w:fldCharType="begin"/>
          </w:r>
          <w:r w:rsidRPr="00FF3AB4">
            <w:rPr>
              <w:rFonts w:asciiTheme="minorHAnsi" w:hAnsiTheme="minorHAnsi" w:cstheme="minorHAnsi"/>
              <w:sz w:val="28"/>
              <w:szCs w:val="28"/>
            </w:rPr>
            <w:instrText xml:space="preserve"> TOC \o "1-3" \h \z \u </w:instrText>
          </w:r>
          <w:r w:rsidRPr="00FF3AB4">
            <w:rPr>
              <w:rFonts w:asciiTheme="minorHAnsi" w:hAnsiTheme="minorHAnsi" w:cstheme="minorHAnsi"/>
              <w:sz w:val="28"/>
              <w:szCs w:val="28"/>
            </w:rPr>
            <w:fldChar w:fldCharType="separate"/>
          </w:r>
          <w:r w:rsidRPr="00FF3AB4">
            <w:rPr>
              <w:rFonts w:asciiTheme="minorHAnsi" w:hAnsiTheme="minorHAnsi" w:cstheme="minorHAnsi"/>
              <w:sz w:val="28"/>
              <w:szCs w:val="28"/>
            </w:rPr>
            <w:t xml:space="preserve">Background </w:t>
          </w:r>
          <w:r w:rsidRPr="00FF3AB4">
            <w:rPr>
              <w:rFonts w:asciiTheme="minorHAnsi" w:hAnsiTheme="minorHAnsi" w:cstheme="minorHAnsi"/>
              <w:sz w:val="28"/>
              <w:szCs w:val="28"/>
            </w:rPr>
            <w:tab/>
            <w:t>2</w:t>
          </w:r>
        </w:p>
        <w:p w14:paraId="5DD5F79C" w14:textId="748916C7" w:rsidR="00277228" w:rsidRPr="00FF3AB4" w:rsidRDefault="00277228" w:rsidP="00277228">
          <w:pPr>
            <w:pStyle w:val="TOC1"/>
            <w:tabs>
              <w:tab w:val="right" w:leader="dot" w:pos="9565"/>
            </w:tabs>
            <w:ind w:left="0"/>
            <w:rPr>
              <w:rFonts w:asciiTheme="minorHAnsi" w:hAnsiTheme="minorHAnsi" w:cstheme="minorHAnsi"/>
              <w:sz w:val="28"/>
              <w:szCs w:val="28"/>
            </w:rPr>
          </w:pPr>
          <w:r w:rsidRPr="00FF3AB4">
            <w:rPr>
              <w:rFonts w:asciiTheme="minorHAnsi" w:hAnsiTheme="minorHAnsi" w:cstheme="minorHAnsi"/>
              <w:sz w:val="28"/>
              <w:szCs w:val="28"/>
            </w:rPr>
            <w:t>Aims</w:t>
          </w:r>
          <w:r w:rsidRPr="00FF3AB4">
            <w:rPr>
              <w:rFonts w:asciiTheme="minorHAnsi" w:hAnsiTheme="minorHAnsi" w:cstheme="minorHAnsi"/>
              <w:sz w:val="28"/>
              <w:szCs w:val="28"/>
            </w:rPr>
            <w:tab/>
            <w:t>3</w:t>
          </w:r>
        </w:p>
        <w:p w14:paraId="0A0A66F7" w14:textId="035371BE" w:rsidR="00277228" w:rsidRPr="00FF3AB4" w:rsidRDefault="00277228" w:rsidP="00277228">
          <w:pPr>
            <w:pStyle w:val="TOC1"/>
            <w:tabs>
              <w:tab w:val="right" w:leader="dot" w:pos="9565"/>
            </w:tabs>
            <w:ind w:left="0"/>
            <w:rPr>
              <w:rFonts w:asciiTheme="minorHAnsi" w:hAnsiTheme="minorHAnsi" w:cstheme="minorHAnsi"/>
              <w:sz w:val="28"/>
              <w:szCs w:val="28"/>
            </w:rPr>
          </w:pPr>
          <w:r w:rsidRPr="00FF3AB4">
            <w:rPr>
              <w:rFonts w:asciiTheme="minorHAnsi" w:hAnsiTheme="minorHAnsi" w:cstheme="minorHAnsi"/>
              <w:sz w:val="28"/>
              <w:szCs w:val="28"/>
            </w:rPr>
            <w:t xml:space="preserve">Key Clinical Functions </w:t>
          </w:r>
          <w:r w:rsidRPr="00FF3AB4">
            <w:rPr>
              <w:rFonts w:asciiTheme="minorHAnsi" w:hAnsiTheme="minorHAnsi" w:cstheme="minorHAnsi"/>
              <w:sz w:val="28"/>
              <w:szCs w:val="28"/>
            </w:rPr>
            <w:tab/>
          </w:r>
          <w:r w:rsidR="00FF3AB4" w:rsidRPr="00FF3AB4">
            <w:rPr>
              <w:rFonts w:asciiTheme="minorHAnsi" w:hAnsiTheme="minorHAnsi" w:cstheme="minorHAnsi"/>
              <w:sz w:val="28"/>
              <w:szCs w:val="28"/>
            </w:rPr>
            <w:t>4</w:t>
          </w:r>
        </w:p>
        <w:p w14:paraId="4C1CBEE9" w14:textId="1DBE3BF5" w:rsidR="00277228" w:rsidRPr="00FF3AB4" w:rsidRDefault="00277228" w:rsidP="00277228">
          <w:pPr>
            <w:pStyle w:val="TOC1"/>
            <w:tabs>
              <w:tab w:val="right" w:leader="dot" w:pos="9565"/>
            </w:tabs>
            <w:ind w:left="0"/>
            <w:rPr>
              <w:rFonts w:asciiTheme="minorHAnsi" w:hAnsiTheme="minorHAnsi" w:cstheme="minorHAnsi"/>
              <w:sz w:val="28"/>
              <w:szCs w:val="28"/>
            </w:rPr>
          </w:pPr>
          <w:r w:rsidRPr="00FF3AB4">
            <w:rPr>
              <w:rFonts w:asciiTheme="minorHAnsi" w:hAnsiTheme="minorHAnsi" w:cstheme="minorHAnsi"/>
              <w:sz w:val="28"/>
              <w:szCs w:val="28"/>
            </w:rPr>
            <w:t>How Will the ARI Hub work</w:t>
          </w:r>
          <w:r w:rsidRPr="00FF3AB4">
            <w:rPr>
              <w:rFonts w:asciiTheme="minorHAnsi" w:hAnsiTheme="minorHAnsi" w:cstheme="minorHAnsi"/>
              <w:sz w:val="28"/>
              <w:szCs w:val="28"/>
            </w:rPr>
            <w:tab/>
          </w:r>
          <w:r w:rsidR="00FF3AB4" w:rsidRPr="00FF3AB4">
            <w:rPr>
              <w:rFonts w:asciiTheme="minorHAnsi" w:hAnsiTheme="minorHAnsi" w:cstheme="minorHAnsi"/>
              <w:sz w:val="28"/>
              <w:szCs w:val="28"/>
            </w:rPr>
            <w:t>5</w:t>
          </w:r>
        </w:p>
        <w:p w14:paraId="05D4DECB" w14:textId="5A7A09A1" w:rsidR="00277228" w:rsidRPr="00FF3AB4" w:rsidRDefault="00277228" w:rsidP="00277228">
          <w:pPr>
            <w:pStyle w:val="TOC1"/>
            <w:tabs>
              <w:tab w:val="right" w:leader="dot" w:pos="9565"/>
            </w:tabs>
            <w:ind w:left="0"/>
            <w:rPr>
              <w:rFonts w:asciiTheme="minorHAnsi" w:hAnsiTheme="minorHAnsi" w:cstheme="minorHAnsi"/>
              <w:sz w:val="28"/>
              <w:szCs w:val="28"/>
            </w:rPr>
          </w:pPr>
          <w:r w:rsidRPr="00FF3AB4">
            <w:rPr>
              <w:rFonts w:asciiTheme="minorHAnsi" w:hAnsiTheme="minorHAnsi" w:cstheme="minorHAnsi"/>
              <w:sz w:val="28"/>
              <w:szCs w:val="28"/>
            </w:rPr>
            <w:t>Consultation Outcomes</w:t>
          </w:r>
          <w:r w:rsidRPr="00FF3AB4">
            <w:rPr>
              <w:rFonts w:asciiTheme="minorHAnsi" w:hAnsiTheme="minorHAnsi" w:cstheme="minorHAnsi"/>
              <w:sz w:val="28"/>
              <w:szCs w:val="28"/>
            </w:rPr>
            <w:tab/>
          </w:r>
          <w:r w:rsidR="004F312A">
            <w:rPr>
              <w:rFonts w:asciiTheme="minorHAnsi" w:hAnsiTheme="minorHAnsi" w:cstheme="minorHAnsi"/>
              <w:sz w:val="28"/>
              <w:szCs w:val="28"/>
            </w:rPr>
            <w:t>6</w:t>
          </w:r>
        </w:p>
        <w:p w14:paraId="5273C5AC" w14:textId="4EFD60F8" w:rsidR="00277228" w:rsidRPr="00FF3AB4" w:rsidRDefault="00277228" w:rsidP="00277228">
          <w:pPr>
            <w:pStyle w:val="TOC1"/>
            <w:tabs>
              <w:tab w:val="right" w:leader="dot" w:pos="9565"/>
            </w:tabs>
            <w:ind w:left="0"/>
            <w:rPr>
              <w:rFonts w:asciiTheme="minorHAnsi" w:hAnsiTheme="minorHAnsi" w:cstheme="minorHAnsi"/>
              <w:sz w:val="28"/>
              <w:szCs w:val="28"/>
            </w:rPr>
          </w:pPr>
          <w:r w:rsidRPr="00FF3AB4">
            <w:rPr>
              <w:rFonts w:asciiTheme="minorHAnsi" w:hAnsiTheme="minorHAnsi" w:cstheme="minorHAnsi"/>
              <w:sz w:val="28"/>
              <w:szCs w:val="28"/>
            </w:rPr>
            <w:t xml:space="preserve">Point of Care Testing </w:t>
          </w:r>
          <w:r w:rsidRPr="00FF3AB4">
            <w:rPr>
              <w:rFonts w:asciiTheme="minorHAnsi" w:hAnsiTheme="minorHAnsi" w:cstheme="minorHAnsi"/>
              <w:sz w:val="28"/>
              <w:szCs w:val="28"/>
            </w:rPr>
            <w:tab/>
          </w:r>
          <w:r w:rsidR="004F312A">
            <w:rPr>
              <w:rFonts w:asciiTheme="minorHAnsi" w:hAnsiTheme="minorHAnsi" w:cstheme="minorHAnsi"/>
              <w:sz w:val="28"/>
              <w:szCs w:val="28"/>
            </w:rPr>
            <w:t>7</w:t>
          </w:r>
        </w:p>
        <w:p w14:paraId="3E732C9A" w14:textId="2080D843" w:rsidR="00277228" w:rsidRPr="00FF3AB4" w:rsidRDefault="00277228" w:rsidP="00277228">
          <w:pPr>
            <w:pStyle w:val="TOC1"/>
            <w:tabs>
              <w:tab w:val="right" w:leader="dot" w:pos="9565"/>
            </w:tabs>
            <w:ind w:left="0"/>
            <w:rPr>
              <w:rFonts w:asciiTheme="minorHAnsi" w:hAnsiTheme="minorHAnsi" w:cstheme="minorHAnsi"/>
              <w:sz w:val="28"/>
              <w:szCs w:val="28"/>
            </w:rPr>
          </w:pPr>
          <w:r w:rsidRPr="00FF3AB4">
            <w:rPr>
              <w:rFonts w:asciiTheme="minorHAnsi" w:hAnsiTheme="minorHAnsi" w:cstheme="minorHAnsi"/>
              <w:sz w:val="28"/>
              <w:szCs w:val="28"/>
            </w:rPr>
            <w:t>Infection Control</w:t>
          </w:r>
          <w:r w:rsidRPr="00FF3AB4">
            <w:rPr>
              <w:rFonts w:asciiTheme="minorHAnsi" w:hAnsiTheme="minorHAnsi" w:cstheme="minorHAnsi"/>
              <w:sz w:val="28"/>
              <w:szCs w:val="28"/>
            </w:rPr>
            <w:tab/>
          </w:r>
          <w:r w:rsidR="004F312A">
            <w:rPr>
              <w:rFonts w:asciiTheme="minorHAnsi" w:hAnsiTheme="minorHAnsi" w:cstheme="minorHAnsi"/>
              <w:sz w:val="28"/>
              <w:szCs w:val="28"/>
            </w:rPr>
            <w:t>8</w:t>
          </w:r>
        </w:p>
        <w:p w14:paraId="6382F6F8" w14:textId="214EEB62" w:rsidR="00277228" w:rsidRPr="00FF3AB4" w:rsidRDefault="00277228" w:rsidP="00277228">
          <w:pPr>
            <w:pStyle w:val="TOC1"/>
            <w:tabs>
              <w:tab w:val="right" w:leader="dot" w:pos="9565"/>
            </w:tabs>
            <w:ind w:left="0"/>
            <w:rPr>
              <w:rFonts w:asciiTheme="minorHAnsi" w:eastAsiaTheme="minorEastAsia" w:hAnsiTheme="minorHAnsi" w:cstheme="minorHAnsi"/>
              <w:noProof/>
              <w:sz w:val="28"/>
              <w:szCs w:val="28"/>
              <w:lang w:val="en-GB" w:eastAsia="en-GB"/>
            </w:rPr>
          </w:pPr>
          <w:r w:rsidRPr="00FF3AB4">
            <w:rPr>
              <w:rFonts w:asciiTheme="minorHAnsi" w:eastAsiaTheme="minorEastAsia" w:hAnsiTheme="minorHAnsi" w:cstheme="minorHAnsi"/>
              <w:noProof/>
              <w:sz w:val="28"/>
              <w:szCs w:val="28"/>
              <w:lang w:val="en-GB" w:eastAsia="en-GB"/>
            </w:rPr>
            <w:t xml:space="preserve">Governance </w:t>
          </w:r>
          <w:r w:rsidRPr="00FF3AB4">
            <w:rPr>
              <w:rFonts w:asciiTheme="minorHAnsi" w:eastAsiaTheme="minorEastAsia" w:hAnsiTheme="minorHAnsi" w:cstheme="minorHAnsi"/>
              <w:noProof/>
              <w:sz w:val="28"/>
              <w:szCs w:val="28"/>
              <w:lang w:val="en-GB" w:eastAsia="en-GB"/>
            </w:rPr>
            <w:tab/>
          </w:r>
          <w:r w:rsidR="004F312A">
            <w:rPr>
              <w:rFonts w:asciiTheme="minorHAnsi" w:eastAsiaTheme="minorEastAsia" w:hAnsiTheme="minorHAnsi" w:cstheme="minorHAnsi"/>
              <w:noProof/>
              <w:sz w:val="28"/>
              <w:szCs w:val="28"/>
              <w:lang w:val="en-GB" w:eastAsia="en-GB"/>
            </w:rPr>
            <w:t>9</w:t>
          </w:r>
        </w:p>
        <w:p w14:paraId="32497EEE" w14:textId="77777777" w:rsidR="00277228" w:rsidRPr="00FF3AB4" w:rsidRDefault="00277228" w:rsidP="00277228">
          <w:pPr>
            <w:pStyle w:val="TOC1"/>
            <w:tabs>
              <w:tab w:val="right" w:leader="dot" w:pos="9565"/>
            </w:tabs>
            <w:ind w:left="0"/>
            <w:rPr>
              <w:rFonts w:asciiTheme="minorHAnsi" w:eastAsiaTheme="minorEastAsia" w:hAnsiTheme="minorHAnsi" w:cstheme="minorHAnsi"/>
              <w:noProof/>
              <w:sz w:val="28"/>
              <w:szCs w:val="28"/>
              <w:lang w:val="en-GB" w:eastAsia="en-GB"/>
            </w:rPr>
          </w:pPr>
        </w:p>
        <w:p w14:paraId="48974D72" w14:textId="77777777" w:rsidR="00277228" w:rsidRPr="00FF3AB4" w:rsidRDefault="00277228" w:rsidP="00277228">
          <w:pPr>
            <w:ind w:right="97"/>
            <w:rPr>
              <w:rFonts w:cstheme="minorHAnsi"/>
              <w:b/>
              <w:bCs/>
              <w:noProof/>
              <w:sz w:val="28"/>
              <w:szCs w:val="28"/>
            </w:rPr>
          </w:pPr>
        </w:p>
        <w:p w14:paraId="6F82F836" w14:textId="77777777" w:rsidR="00277228" w:rsidRPr="00FF3AB4" w:rsidRDefault="00277228" w:rsidP="00277228">
          <w:pPr>
            <w:ind w:right="97"/>
            <w:rPr>
              <w:rFonts w:cstheme="minorHAnsi"/>
              <w:b/>
              <w:bCs/>
              <w:noProof/>
              <w:sz w:val="20"/>
              <w:szCs w:val="20"/>
            </w:rPr>
          </w:pPr>
          <w:r w:rsidRPr="00FF3AB4">
            <w:rPr>
              <w:rFonts w:cstheme="minorHAnsi"/>
              <w:b/>
              <w:bCs/>
              <w:noProof/>
              <w:sz w:val="28"/>
              <w:szCs w:val="28"/>
            </w:rPr>
            <w:fldChar w:fldCharType="end"/>
          </w:r>
        </w:p>
      </w:sdtContent>
    </w:sdt>
    <w:p w14:paraId="58291E5B" w14:textId="1072E241" w:rsidR="00236A20" w:rsidRPr="00FF3AB4" w:rsidRDefault="00475DFB">
      <w:pPr>
        <w:rPr>
          <w:rFonts w:cstheme="minorHAnsi"/>
        </w:rPr>
      </w:pPr>
    </w:p>
    <w:p w14:paraId="225E9668" w14:textId="21BCCF80" w:rsidR="00277228" w:rsidRPr="00FF3AB4" w:rsidRDefault="00277228">
      <w:pPr>
        <w:rPr>
          <w:rFonts w:cstheme="minorHAnsi"/>
        </w:rPr>
      </w:pPr>
    </w:p>
    <w:p w14:paraId="6371326C" w14:textId="08A839AC" w:rsidR="00277228" w:rsidRPr="00FF3AB4" w:rsidRDefault="00277228">
      <w:pPr>
        <w:rPr>
          <w:rFonts w:cstheme="minorHAnsi"/>
        </w:rPr>
      </w:pPr>
    </w:p>
    <w:p w14:paraId="38B92632" w14:textId="31FB142C" w:rsidR="00277228" w:rsidRPr="00FF3AB4" w:rsidRDefault="00277228">
      <w:pPr>
        <w:rPr>
          <w:rFonts w:cstheme="minorHAnsi"/>
        </w:rPr>
      </w:pPr>
    </w:p>
    <w:p w14:paraId="0841A4D2" w14:textId="595CAEAE" w:rsidR="00277228" w:rsidRPr="00FF3AB4" w:rsidRDefault="00277228">
      <w:pPr>
        <w:rPr>
          <w:rFonts w:cstheme="minorHAnsi"/>
        </w:rPr>
      </w:pPr>
    </w:p>
    <w:p w14:paraId="53A6315C" w14:textId="29C082B2" w:rsidR="00277228" w:rsidRPr="00FF3AB4" w:rsidRDefault="00277228">
      <w:pPr>
        <w:rPr>
          <w:rFonts w:cstheme="minorHAnsi"/>
        </w:rPr>
      </w:pPr>
    </w:p>
    <w:p w14:paraId="3EFE8FFF" w14:textId="77777777" w:rsidR="00FF3AB4" w:rsidRDefault="00FF3AB4" w:rsidP="00277228">
      <w:pPr>
        <w:rPr>
          <w:rFonts w:cstheme="minorHAnsi"/>
        </w:rPr>
      </w:pPr>
    </w:p>
    <w:p w14:paraId="331AABD8" w14:textId="045B55FD" w:rsidR="00277228" w:rsidRPr="00FF3AB4" w:rsidRDefault="00277228" w:rsidP="00277228">
      <w:pPr>
        <w:rPr>
          <w:rFonts w:cstheme="minorHAnsi"/>
          <w:b/>
          <w:bCs/>
          <w:sz w:val="28"/>
          <w:szCs w:val="28"/>
          <w:u w:val="single"/>
        </w:rPr>
      </w:pPr>
      <w:r w:rsidRPr="00FF3AB4">
        <w:rPr>
          <w:rFonts w:cstheme="minorHAnsi"/>
          <w:b/>
          <w:bCs/>
          <w:sz w:val="28"/>
          <w:szCs w:val="28"/>
          <w:u w:val="single"/>
        </w:rPr>
        <w:lastRenderedPageBreak/>
        <w:t>Background</w:t>
      </w:r>
    </w:p>
    <w:p w14:paraId="116DBB2E" w14:textId="7E32B293" w:rsidR="00FF3AB4" w:rsidRPr="003435F3" w:rsidRDefault="00277228" w:rsidP="003435F3">
      <w:pPr>
        <w:rPr>
          <w:rFonts w:cstheme="minorHAnsi"/>
          <w:b/>
          <w:bCs/>
        </w:rPr>
      </w:pPr>
      <w:r w:rsidRPr="00FF3AB4">
        <w:rPr>
          <w:rFonts w:cstheme="minorHAnsi"/>
          <w:i/>
          <w:iCs/>
          <w:sz w:val="28"/>
          <w:szCs w:val="28"/>
        </w:rPr>
        <w:t>(Taken from Combined Adult and Paediatric Acute Respiratory Infection (ARI) Hubs (previously RCAS Hubs)</w:t>
      </w:r>
      <w:r w:rsidRPr="00FF3AB4">
        <w:rPr>
          <w:rFonts w:cstheme="minorHAnsi"/>
          <w:b/>
          <w:bCs/>
        </w:rPr>
        <w:t xml:space="preserve"> </w:t>
      </w:r>
      <w:r w:rsidRPr="00FF3AB4">
        <w:rPr>
          <w:rFonts w:cstheme="minorHAnsi"/>
          <w:i/>
          <w:iCs/>
          <w:sz w:val="28"/>
          <w:szCs w:val="28"/>
        </w:rPr>
        <w:t>NHSE 18</w:t>
      </w:r>
      <w:r w:rsidRPr="00FF3AB4">
        <w:rPr>
          <w:rFonts w:cstheme="minorHAnsi"/>
          <w:i/>
          <w:iCs/>
          <w:sz w:val="28"/>
          <w:szCs w:val="28"/>
          <w:vertAlign w:val="superscript"/>
        </w:rPr>
        <w:t>th</w:t>
      </w:r>
      <w:r w:rsidRPr="00FF3AB4">
        <w:rPr>
          <w:rFonts w:cstheme="minorHAnsi"/>
          <w:i/>
          <w:iCs/>
          <w:sz w:val="28"/>
          <w:szCs w:val="28"/>
        </w:rPr>
        <w:t xml:space="preserve"> October 2022)</w:t>
      </w:r>
    </w:p>
    <w:p w14:paraId="10E7E5E4" w14:textId="79F9B9C5" w:rsidR="00FF3AB4" w:rsidRPr="003435F3" w:rsidRDefault="00277228" w:rsidP="00277228">
      <w:pPr>
        <w:ind w:right="97"/>
        <w:jc w:val="both"/>
        <w:rPr>
          <w:rFonts w:cstheme="minorHAnsi"/>
          <w:sz w:val="28"/>
          <w:szCs w:val="28"/>
        </w:rPr>
      </w:pPr>
      <w:r w:rsidRPr="00FF3AB4">
        <w:rPr>
          <w:rFonts w:cstheme="minorHAnsi"/>
          <w:sz w:val="28"/>
          <w:szCs w:val="28"/>
        </w:rPr>
        <w:t>NHS England and UK Health Security Agency (UKHSA) Emergency Department Syndromic Surveillance reports from 2020-2022 show that acute respiratory infections are one of the most common reasons for emergency attendance and admission. Scenarios for COVID-19, combined with those for flu, suggest that even in optimistic scenarios, high numbers of appointments and beds may be needed for respiratory patients during winter.</w:t>
      </w:r>
    </w:p>
    <w:p w14:paraId="76E4DE61" w14:textId="4E03F01F" w:rsidR="00277228" w:rsidRPr="00FF3AB4" w:rsidRDefault="00475DFB" w:rsidP="00277228">
      <w:pPr>
        <w:ind w:right="97"/>
        <w:jc w:val="both"/>
        <w:rPr>
          <w:rFonts w:cstheme="minorHAnsi"/>
          <w:sz w:val="28"/>
          <w:szCs w:val="28"/>
        </w:rPr>
      </w:pPr>
      <w:hyperlink r:id="rId10" w:history="1">
        <w:r w:rsidR="00FF3AB4" w:rsidRPr="00FF1802">
          <w:rPr>
            <w:rStyle w:val="Hyperlink"/>
            <w:rFonts w:cstheme="minorHAnsi"/>
            <w:sz w:val="28"/>
            <w:szCs w:val="28"/>
          </w:rPr>
          <w:t>https://www.england.nhs.uk/wp-content/uploads/2022/10/BW2064-combined-adult-paediatric-ari-hubs-october-22.pdf</w:t>
        </w:r>
      </w:hyperlink>
    </w:p>
    <w:p w14:paraId="45341644" w14:textId="77777777" w:rsidR="00277228" w:rsidRPr="00FF3AB4" w:rsidRDefault="00277228" w:rsidP="00277228">
      <w:pPr>
        <w:pStyle w:val="ListParagraph"/>
        <w:widowControl/>
        <w:numPr>
          <w:ilvl w:val="0"/>
          <w:numId w:val="1"/>
        </w:numPr>
        <w:autoSpaceDE/>
        <w:autoSpaceDN/>
        <w:spacing w:after="160" w:line="259" w:lineRule="auto"/>
        <w:ind w:right="97"/>
        <w:jc w:val="both"/>
        <w:rPr>
          <w:rFonts w:asciiTheme="minorHAnsi" w:hAnsiTheme="minorHAnsi" w:cstheme="minorHAnsi"/>
          <w:sz w:val="28"/>
          <w:szCs w:val="28"/>
        </w:rPr>
      </w:pPr>
      <w:r w:rsidRPr="00FF3AB4">
        <w:rPr>
          <w:rFonts w:asciiTheme="minorHAnsi" w:hAnsiTheme="minorHAnsi" w:cstheme="minorHAnsi"/>
          <w:sz w:val="28"/>
          <w:szCs w:val="28"/>
        </w:rPr>
        <w:t>Patients presenting with acute respiratory infection are already the most common reason for ED attendance/admission with </w:t>
      </w:r>
      <w:r w:rsidRPr="00FF3AB4">
        <w:rPr>
          <w:rFonts w:asciiTheme="minorHAnsi" w:hAnsiTheme="minorHAnsi" w:cstheme="minorHAnsi"/>
          <w:b/>
          <w:bCs/>
          <w:sz w:val="28"/>
          <w:szCs w:val="28"/>
        </w:rPr>
        <w:t xml:space="preserve">nearly 500,000 attendances in 2020-2021 </w:t>
      </w:r>
      <w:r w:rsidRPr="00FF3AB4">
        <w:rPr>
          <w:rFonts w:asciiTheme="minorHAnsi" w:hAnsiTheme="minorHAnsi" w:cstheme="minorHAnsi"/>
          <w:sz w:val="28"/>
          <w:szCs w:val="28"/>
        </w:rPr>
        <w:t>to include 209,747 lower respiratory tract infections, 139,645 COVID pneumonitis and 125,108 upper respiratory infections [1]</w:t>
      </w:r>
    </w:p>
    <w:p w14:paraId="7A46FF3F" w14:textId="77777777" w:rsidR="00277228" w:rsidRPr="00FF3AB4" w:rsidRDefault="00277228" w:rsidP="00277228">
      <w:pPr>
        <w:pStyle w:val="ListParagraph"/>
        <w:widowControl/>
        <w:numPr>
          <w:ilvl w:val="0"/>
          <w:numId w:val="1"/>
        </w:numPr>
        <w:autoSpaceDE/>
        <w:autoSpaceDN/>
        <w:spacing w:after="160" w:line="259" w:lineRule="auto"/>
        <w:ind w:right="97"/>
        <w:jc w:val="both"/>
        <w:rPr>
          <w:rFonts w:asciiTheme="minorHAnsi" w:hAnsiTheme="minorHAnsi" w:cstheme="minorHAnsi"/>
          <w:sz w:val="28"/>
          <w:szCs w:val="28"/>
        </w:rPr>
      </w:pPr>
      <w:r w:rsidRPr="00FF3AB4">
        <w:rPr>
          <w:rFonts w:asciiTheme="minorHAnsi" w:hAnsiTheme="minorHAnsi" w:cstheme="minorHAnsi"/>
          <w:sz w:val="28"/>
          <w:szCs w:val="28"/>
        </w:rPr>
        <w:t xml:space="preserve">SAGE and NHSE modelling indicate that </w:t>
      </w:r>
      <w:r w:rsidRPr="00FF3AB4">
        <w:rPr>
          <w:rFonts w:asciiTheme="minorHAnsi" w:hAnsiTheme="minorHAnsi" w:cstheme="minorHAnsi"/>
          <w:b/>
          <w:bCs/>
          <w:sz w:val="28"/>
          <w:szCs w:val="28"/>
        </w:rPr>
        <w:t xml:space="preserve">up to half of NHS beds </w:t>
      </w:r>
      <w:r w:rsidRPr="00FF3AB4">
        <w:rPr>
          <w:rFonts w:asciiTheme="minorHAnsi" w:hAnsiTheme="minorHAnsi" w:cstheme="minorHAnsi"/>
          <w:sz w:val="28"/>
          <w:szCs w:val="28"/>
        </w:rPr>
        <w:t>will be occupied with acute respiratory infection admissions</w:t>
      </w:r>
    </w:p>
    <w:p w14:paraId="10BB1E35" w14:textId="77777777" w:rsidR="00277228" w:rsidRPr="00FF3AB4" w:rsidRDefault="00277228" w:rsidP="00277228">
      <w:pPr>
        <w:pStyle w:val="ListParagraph"/>
        <w:widowControl/>
        <w:numPr>
          <w:ilvl w:val="0"/>
          <w:numId w:val="1"/>
        </w:numPr>
        <w:autoSpaceDE/>
        <w:autoSpaceDN/>
        <w:spacing w:after="160" w:line="259" w:lineRule="auto"/>
        <w:ind w:right="97"/>
        <w:jc w:val="both"/>
        <w:rPr>
          <w:rFonts w:asciiTheme="minorHAnsi" w:hAnsiTheme="minorHAnsi" w:cstheme="minorHAnsi"/>
          <w:sz w:val="28"/>
          <w:szCs w:val="28"/>
        </w:rPr>
      </w:pPr>
      <w:r w:rsidRPr="00FF3AB4">
        <w:rPr>
          <w:rFonts w:asciiTheme="minorHAnsi" w:hAnsiTheme="minorHAnsi" w:cstheme="minorHAnsi"/>
          <w:sz w:val="28"/>
          <w:szCs w:val="28"/>
        </w:rPr>
        <w:t xml:space="preserve">With Influenza, during the 2017/18 and 2018/19 seasons there were </w:t>
      </w:r>
      <w:r w:rsidRPr="00FF3AB4">
        <w:rPr>
          <w:rFonts w:asciiTheme="minorHAnsi" w:hAnsiTheme="minorHAnsi" w:cstheme="minorHAnsi"/>
          <w:b/>
          <w:bCs/>
          <w:sz w:val="28"/>
          <w:szCs w:val="28"/>
        </w:rPr>
        <w:t xml:space="preserve">2 million GP consultations, 46,215 and 39,670 hospital admissions </w:t>
      </w:r>
      <w:r w:rsidRPr="00FF3AB4">
        <w:rPr>
          <w:rFonts w:asciiTheme="minorHAnsi" w:hAnsiTheme="minorHAnsi" w:cstheme="minorHAnsi"/>
          <w:sz w:val="28"/>
          <w:szCs w:val="28"/>
        </w:rPr>
        <w:t>respectively. This resulted in a hospital cost of £128,153,810 and £99,565,310 across both seasons. </w:t>
      </w:r>
    </w:p>
    <w:p w14:paraId="758296B7" w14:textId="77777777" w:rsidR="00277228" w:rsidRPr="00FF3AB4" w:rsidRDefault="00277228" w:rsidP="00277228">
      <w:pPr>
        <w:pStyle w:val="ListParagraph"/>
        <w:widowControl/>
        <w:numPr>
          <w:ilvl w:val="0"/>
          <w:numId w:val="1"/>
        </w:numPr>
        <w:autoSpaceDE/>
        <w:autoSpaceDN/>
        <w:spacing w:after="160" w:line="259" w:lineRule="auto"/>
        <w:ind w:right="97"/>
        <w:jc w:val="both"/>
        <w:rPr>
          <w:rFonts w:asciiTheme="minorHAnsi" w:hAnsiTheme="minorHAnsi" w:cstheme="minorHAnsi"/>
          <w:sz w:val="28"/>
          <w:szCs w:val="28"/>
        </w:rPr>
      </w:pPr>
      <w:r w:rsidRPr="00FF3AB4">
        <w:rPr>
          <w:rFonts w:asciiTheme="minorHAnsi" w:hAnsiTheme="minorHAnsi" w:cstheme="minorHAnsi"/>
          <w:sz w:val="28"/>
          <w:szCs w:val="28"/>
        </w:rPr>
        <w:t>The RCGP Primary Care surveillance within the </w:t>
      </w:r>
      <w:hyperlink r:id="rId11" w:history="1">
        <w:r w:rsidRPr="00FF3AB4">
          <w:rPr>
            <w:rStyle w:val="Hyperlink"/>
            <w:rFonts w:asciiTheme="minorHAnsi" w:hAnsiTheme="minorHAnsi" w:cstheme="minorHAnsi"/>
            <w:sz w:val="28"/>
            <w:szCs w:val="28"/>
          </w:rPr>
          <w:t>Weekly national surveillance report</w:t>
        </w:r>
      </w:hyperlink>
      <w:r w:rsidRPr="00FF3AB4">
        <w:rPr>
          <w:rFonts w:asciiTheme="minorHAnsi" w:hAnsiTheme="minorHAnsi" w:cstheme="minorHAnsi"/>
          <w:sz w:val="28"/>
          <w:szCs w:val="28"/>
          <w:u w:val="single"/>
        </w:rPr>
        <w:t> </w:t>
      </w:r>
      <w:r w:rsidRPr="00FF3AB4">
        <w:rPr>
          <w:rFonts w:asciiTheme="minorHAnsi" w:hAnsiTheme="minorHAnsi" w:cstheme="minorHAnsi"/>
          <w:sz w:val="28"/>
          <w:szCs w:val="28"/>
        </w:rPr>
        <w:t>suggests that for week 26, 2022, ARI (not including URTI) amounts to </w:t>
      </w:r>
      <w:r w:rsidRPr="00FF3AB4">
        <w:rPr>
          <w:rFonts w:asciiTheme="minorHAnsi" w:hAnsiTheme="minorHAnsi" w:cstheme="minorHAnsi"/>
          <w:b/>
          <w:bCs/>
          <w:sz w:val="28"/>
          <w:szCs w:val="28"/>
        </w:rPr>
        <w:t>257.3 consultations per 100,000 registered patients.</w:t>
      </w:r>
      <w:r w:rsidRPr="00FF3AB4">
        <w:rPr>
          <w:rFonts w:asciiTheme="minorHAnsi" w:hAnsiTheme="minorHAnsi" w:cstheme="minorHAnsi"/>
          <w:sz w:val="28"/>
          <w:szCs w:val="28"/>
        </w:rPr>
        <w:t xml:space="preserve"> </w:t>
      </w:r>
    </w:p>
    <w:p w14:paraId="2DDCE4EA" w14:textId="77777777" w:rsidR="00277228" w:rsidRPr="00FF3AB4" w:rsidRDefault="00277228" w:rsidP="00277228">
      <w:pPr>
        <w:pStyle w:val="ListParagraph"/>
        <w:widowControl/>
        <w:numPr>
          <w:ilvl w:val="0"/>
          <w:numId w:val="1"/>
        </w:numPr>
        <w:autoSpaceDE/>
        <w:autoSpaceDN/>
        <w:spacing w:after="160" w:line="259" w:lineRule="auto"/>
        <w:ind w:right="97"/>
        <w:jc w:val="both"/>
        <w:rPr>
          <w:rFonts w:asciiTheme="minorHAnsi" w:hAnsiTheme="minorHAnsi" w:cstheme="minorHAnsi"/>
          <w:sz w:val="28"/>
          <w:szCs w:val="28"/>
        </w:rPr>
      </w:pPr>
      <w:r w:rsidRPr="00FF3AB4">
        <w:rPr>
          <w:rFonts w:asciiTheme="minorHAnsi" w:hAnsiTheme="minorHAnsi" w:cstheme="minorHAnsi"/>
          <w:sz w:val="28"/>
          <w:szCs w:val="28"/>
        </w:rPr>
        <w:t xml:space="preserve">Ambulance data from one region indicates that there are approximately </w:t>
      </w:r>
      <w:r w:rsidRPr="00FF3AB4">
        <w:rPr>
          <w:rFonts w:asciiTheme="minorHAnsi" w:hAnsiTheme="minorHAnsi" w:cstheme="minorHAnsi"/>
          <w:b/>
          <w:bCs/>
          <w:sz w:val="28"/>
          <w:szCs w:val="28"/>
        </w:rPr>
        <w:t>10,000 respiratory impressions per month.</w:t>
      </w:r>
    </w:p>
    <w:p w14:paraId="0E46B75B" w14:textId="77777777" w:rsidR="00277228" w:rsidRPr="00FF3AB4" w:rsidRDefault="00277228" w:rsidP="00277228">
      <w:pPr>
        <w:pStyle w:val="ListParagraph"/>
        <w:widowControl/>
        <w:numPr>
          <w:ilvl w:val="0"/>
          <w:numId w:val="1"/>
        </w:numPr>
        <w:autoSpaceDE/>
        <w:autoSpaceDN/>
        <w:spacing w:after="160" w:line="259" w:lineRule="auto"/>
        <w:ind w:right="97"/>
        <w:contextualSpacing/>
        <w:jc w:val="both"/>
        <w:rPr>
          <w:rFonts w:asciiTheme="minorHAnsi" w:hAnsiTheme="minorHAnsi" w:cstheme="minorHAnsi"/>
          <w:sz w:val="28"/>
          <w:szCs w:val="28"/>
        </w:rPr>
      </w:pPr>
      <w:r w:rsidRPr="00FF3AB4">
        <w:rPr>
          <w:rFonts w:asciiTheme="minorHAnsi" w:hAnsiTheme="minorHAnsi" w:cstheme="minorHAnsi"/>
          <w:sz w:val="28"/>
          <w:szCs w:val="28"/>
        </w:rPr>
        <w:t>Around 40% of ED attendees with respiratory symptoms are discharged within a few hours of arrival indicating that many of these could be treated in the community [5</w:t>
      </w:r>
    </w:p>
    <w:p w14:paraId="3A89AB2F" w14:textId="77777777" w:rsidR="00FF3AB4" w:rsidRDefault="00277228" w:rsidP="00277228">
      <w:pPr>
        <w:ind w:right="97"/>
        <w:jc w:val="both"/>
        <w:rPr>
          <w:rFonts w:cstheme="minorHAnsi"/>
          <w:sz w:val="28"/>
          <w:szCs w:val="28"/>
        </w:rPr>
      </w:pPr>
      <w:r w:rsidRPr="00FF3AB4">
        <w:rPr>
          <w:rFonts w:cstheme="minorHAnsi"/>
          <w:sz w:val="28"/>
          <w:szCs w:val="28"/>
        </w:rPr>
        <w:t xml:space="preserve">Providing timely face-to-face assessment in general practice to large numbers of symptomatic patients alongside non-COVID-19 clinical activity may be challenging, particularly where premises do not allow easy separation of patient groups. </w:t>
      </w:r>
    </w:p>
    <w:p w14:paraId="47AB4BF5" w14:textId="247513EA" w:rsidR="00277228" w:rsidRPr="00FF3AB4" w:rsidRDefault="00277228" w:rsidP="00277228">
      <w:pPr>
        <w:ind w:right="97"/>
        <w:jc w:val="both"/>
        <w:rPr>
          <w:rFonts w:cstheme="minorHAnsi"/>
          <w:sz w:val="28"/>
          <w:szCs w:val="28"/>
        </w:rPr>
      </w:pPr>
      <w:r w:rsidRPr="00FF3AB4">
        <w:rPr>
          <w:rFonts w:cstheme="minorHAnsi"/>
          <w:sz w:val="28"/>
          <w:szCs w:val="28"/>
        </w:rPr>
        <w:lastRenderedPageBreak/>
        <w:t>Supporting optimal management of respiratory infections over coming months using dedicated hubs may support the healthcare system to provide high quality and timely care for these patients as well as supporting existing healthcare services to address the backlog of non-COVID-19 care and acute pressures.</w:t>
      </w:r>
    </w:p>
    <w:p w14:paraId="3970051E" w14:textId="6ED8A921" w:rsidR="00277228" w:rsidRPr="003435F3" w:rsidRDefault="00277228" w:rsidP="003435F3">
      <w:pPr>
        <w:ind w:right="97"/>
        <w:jc w:val="both"/>
        <w:rPr>
          <w:rFonts w:cstheme="minorHAnsi"/>
          <w:sz w:val="28"/>
          <w:szCs w:val="28"/>
        </w:rPr>
      </w:pPr>
      <w:r w:rsidRPr="00FF3AB4">
        <w:rPr>
          <w:rFonts w:cstheme="minorHAnsi"/>
          <w:sz w:val="28"/>
          <w:szCs w:val="28"/>
        </w:rPr>
        <w:t xml:space="preserve">As a result, Southampton Place in HIOW ICB has suggested standing up at-scale solutions across Southampton to see patients with Acute Respiratory Infections, including COVID, Influenza, RSV, infective exacerbation of COPD and children with viral illness. </w:t>
      </w:r>
      <w:r w:rsidR="00251F6B">
        <w:rPr>
          <w:rFonts w:cstheme="minorHAnsi"/>
          <w:sz w:val="28"/>
          <w:szCs w:val="28"/>
        </w:rPr>
        <w:t xml:space="preserve">SPCL will </w:t>
      </w:r>
      <w:r w:rsidRPr="00FF3AB4">
        <w:rPr>
          <w:rFonts w:cstheme="minorHAnsi"/>
          <w:sz w:val="28"/>
          <w:szCs w:val="28"/>
        </w:rPr>
        <w:t xml:space="preserve">provide 2 Hubs one in the </w:t>
      </w:r>
      <w:r w:rsidR="003435F3" w:rsidRPr="00FF3AB4">
        <w:rPr>
          <w:rFonts w:cstheme="minorHAnsi"/>
          <w:sz w:val="28"/>
          <w:szCs w:val="28"/>
        </w:rPr>
        <w:t>centre</w:t>
      </w:r>
      <w:r w:rsidRPr="00FF3AB4">
        <w:rPr>
          <w:rFonts w:cstheme="minorHAnsi"/>
          <w:sz w:val="28"/>
          <w:szCs w:val="28"/>
        </w:rPr>
        <w:t xml:space="preserve"> of Southampton and one on the East of the City. </w:t>
      </w:r>
    </w:p>
    <w:p w14:paraId="29CDC588" w14:textId="77777777" w:rsidR="00277228" w:rsidRPr="00FF3AB4" w:rsidRDefault="00277228" w:rsidP="00277228">
      <w:pPr>
        <w:rPr>
          <w:rFonts w:cstheme="minorHAnsi"/>
          <w:b/>
          <w:bCs/>
          <w:sz w:val="28"/>
          <w:szCs w:val="28"/>
          <w:u w:val="single"/>
        </w:rPr>
      </w:pPr>
      <w:r w:rsidRPr="00FF3AB4">
        <w:rPr>
          <w:rFonts w:cstheme="minorHAnsi"/>
          <w:b/>
          <w:bCs/>
          <w:sz w:val="28"/>
          <w:szCs w:val="28"/>
          <w:u w:val="single"/>
        </w:rPr>
        <w:t>Aims</w:t>
      </w:r>
    </w:p>
    <w:p w14:paraId="6CC42A43" w14:textId="08AA1089" w:rsidR="0062774A" w:rsidRPr="00FF3AB4" w:rsidRDefault="00277228" w:rsidP="0062774A">
      <w:pPr>
        <w:rPr>
          <w:rFonts w:cstheme="minorHAnsi"/>
          <w:sz w:val="28"/>
          <w:szCs w:val="28"/>
        </w:rPr>
      </w:pPr>
      <w:r w:rsidRPr="00FF3AB4">
        <w:rPr>
          <w:rFonts w:cstheme="minorHAnsi"/>
          <w:sz w:val="28"/>
          <w:szCs w:val="28"/>
        </w:rPr>
        <w:t>An Acute Respiratory Infection</w:t>
      </w:r>
      <w:r w:rsidR="00A24487">
        <w:rPr>
          <w:rFonts w:cstheme="minorHAnsi"/>
          <w:sz w:val="28"/>
          <w:szCs w:val="28"/>
        </w:rPr>
        <w:t xml:space="preserve"> (ARI)</w:t>
      </w:r>
      <w:r w:rsidRPr="00FF3AB4">
        <w:rPr>
          <w:rFonts w:cstheme="minorHAnsi"/>
          <w:sz w:val="28"/>
          <w:szCs w:val="28"/>
        </w:rPr>
        <w:t xml:space="preserve"> hub model is a system approach that drives a collective objective to provide timely and appropriate care to the population and helps reduce pressure on other parts of the system. The hub model may be best suited to those with acute, episodic needs</w:t>
      </w:r>
      <w:bookmarkStart w:id="0" w:name="_Toc121165386"/>
      <w:bookmarkStart w:id="1" w:name="_Toc121171394"/>
      <w:bookmarkStart w:id="2" w:name="_Toc121239829"/>
      <w:r w:rsidR="001F0A1C">
        <w:rPr>
          <w:rFonts w:cstheme="minorHAnsi"/>
          <w:sz w:val="28"/>
          <w:szCs w:val="28"/>
        </w:rPr>
        <w:t>.</w:t>
      </w:r>
    </w:p>
    <w:p w14:paraId="79D987DB" w14:textId="273D110F" w:rsidR="00277228" w:rsidRPr="00FF3AB4" w:rsidRDefault="00277228" w:rsidP="0062774A">
      <w:pPr>
        <w:rPr>
          <w:rFonts w:cstheme="minorHAnsi"/>
          <w:b/>
          <w:bCs/>
          <w:sz w:val="28"/>
          <w:szCs w:val="28"/>
          <w:u w:val="single"/>
        </w:rPr>
      </w:pPr>
      <w:r w:rsidRPr="00FF3AB4">
        <w:rPr>
          <w:rFonts w:cstheme="minorHAnsi"/>
          <w:sz w:val="28"/>
          <w:szCs w:val="28"/>
        </w:rPr>
        <w:t>As a result, the goals are to:</w:t>
      </w:r>
      <w:bookmarkEnd w:id="0"/>
      <w:bookmarkEnd w:id="1"/>
      <w:bookmarkEnd w:id="2"/>
    </w:p>
    <w:p w14:paraId="293DE54E" w14:textId="77777777" w:rsidR="00277228" w:rsidRPr="00FF3AB4" w:rsidRDefault="00277228" w:rsidP="00277228">
      <w:pPr>
        <w:pStyle w:val="BodyText"/>
        <w:numPr>
          <w:ilvl w:val="0"/>
          <w:numId w:val="2"/>
        </w:numPr>
        <w:rPr>
          <w:rFonts w:asciiTheme="minorHAnsi" w:hAnsiTheme="minorHAnsi" w:cstheme="minorHAnsi"/>
          <w:sz w:val="28"/>
          <w:szCs w:val="28"/>
        </w:rPr>
      </w:pPr>
      <w:bookmarkStart w:id="3" w:name="_Toc121165387"/>
      <w:r w:rsidRPr="00FF3AB4">
        <w:rPr>
          <w:rFonts w:asciiTheme="minorHAnsi" w:hAnsiTheme="minorHAnsi" w:cstheme="minorHAnsi"/>
          <w:sz w:val="28"/>
          <w:szCs w:val="28"/>
        </w:rPr>
        <w:t>Support patients with urgent clinical needs by enhancing same day access to assessment and specialist advice as needed. This may include accessing secondary care respiratory clinics.</w:t>
      </w:r>
    </w:p>
    <w:p w14:paraId="4692A7D8" w14:textId="7F49180E" w:rsidR="00277228" w:rsidRPr="00FF3AB4" w:rsidRDefault="00277228" w:rsidP="00277228">
      <w:pPr>
        <w:pStyle w:val="BodyText"/>
        <w:numPr>
          <w:ilvl w:val="0"/>
          <w:numId w:val="2"/>
        </w:numPr>
        <w:rPr>
          <w:rFonts w:asciiTheme="minorHAnsi" w:hAnsiTheme="minorHAnsi" w:cstheme="minorHAnsi"/>
          <w:sz w:val="28"/>
          <w:szCs w:val="28"/>
        </w:rPr>
      </w:pPr>
      <w:r w:rsidRPr="00FF3AB4">
        <w:rPr>
          <w:rFonts w:asciiTheme="minorHAnsi" w:hAnsiTheme="minorHAnsi" w:cstheme="minorHAnsi"/>
          <w:sz w:val="28"/>
          <w:szCs w:val="28"/>
        </w:rPr>
        <w:t>Access to point of care (POC) testing or other diagnostics may be helpful if available</w:t>
      </w:r>
      <w:bookmarkEnd w:id="3"/>
      <w:r w:rsidR="001F0A1C">
        <w:rPr>
          <w:rFonts w:asciiTheme="minorHAnsi" w:hAnsiTheme="minorHAnsi" w:cstheme="minorHAnsi"/>
          <w:sz w:val="28"/>
          <w:szCs w:val="28"/>
        </w:rPr>
        <w:t>.</w:t>
      </w:r>
    </w:p>
    <w:p w14:paraId="033DE064" w14:textId="322CCB72" w:rsidR="00277228" w:rsidRPr="00FF3AB4" w:rsidRDefault="00277228" w:rsidP="00277228">
      <w:pPr>
        <w:pStyle w:val="BodyText"/>
        <w:numPr>
          <w:ilvl w:val="0"/>
          <w:numId w:val="2"/>
        </w:numPr>
        <w:rPr>
          <w:rFonts w:asciiTheme="minorHAnsi" w:hAnsiTheme="minorHAnsi" w:cstheme="minorHAnsi"/>
          <w:sz w:val="28"/>
          <w:szCs w:val="28"/>
        </w:rPr>
      </w:pPr>
      <w:bookmarkStart w:id="4" w:name="_Toc121165388"/>
      <w:r w:rsidRPr="00FF3AB4">
        <w:rPr>
          <w:rFonts w:asciiTheme="minorHAnsi" w:hAnsiTheme="minorHAnsi" w:cstheme="minorHAnsi"/>
          <w:sz w:val="28"/>
          <w:szCs w:val="28"/>
        </w:rPr>
        <w:t>Seek to reduce ambulance callouts, A&amp;E attendances and hospital admissions for patients who could be appropriately managed in the community</w:t>
      </w:r>
      <w:bookmarkEnd w:id="4"/>
      <w:r w:rsidR="001F0A1C">
        <w:rPr>
          <w:rFonts w:asciiTheme="minorHAnsi" w:hAnsiTheme="minorHAnsi" w:cstheme="minorHAnsi"/>
          <w:sz w:val="28"/>
          <w:szCs w:val="28"/>
        </w:rPr>
        <w:t>.</w:t>
      </w:r>
    </w:p>
    <w:p w14:paraId="77D60469" w14:textId="3C57043D" w:rsidR="00277228" w:rsidRPr="00FF3AB4" w:rsidRDefault="00277228" w:rsidP="00277228">
      <w:pPr>
        <w:pStyle w:val="BodyText"/>
        <w:numPr>
          <w:ilvl w:val="0"/>
          <w:numId w:val="2"/>
        </w:numPr>
        <w:rPr>
          <w:rFonts w:asciiTheme="minorHAnsi" w:hAnsiTheme="minorHAnsi" w:cstheme="minorHAnsi"/>
          <w:sz w:val="28"/>
          <w:szCs w:val="28"/>
        </w:rPr>
      </w:pPr>
      <w:bookmarkStart w:id="5" w:name="_Toc121165389"/>
      <w:r w:rsidRPr="00FF3AB4">
        <w:rPr>
          <w:rFonts w:asciiTheme="minorHAnsi" w:hAnsiTheme="minorHAnsi" w:cstheme="minorHAnsi"/>
          <w:sz w:val="28"/>
          <w:szCs w:val="28"/>
        </w:rPr>
        <w:t>Reduce the burden of acute respiratory illness on primary care and provide more time for practice teams to support patients where continuity of care is most important</w:t>
      </w:r>
      <w:bookmarkEnd w:id="5"/>
      <w:r w:rsidR="001F0A1C">
        <w:rPr>
          <w:rFonts w:asciiTheme="minorHAnsi" w:hAnsiTheme="minorHAnsi" w:cstheme="minorHAnsi"/>
          <w:sz w:val="28"/>
          <w:szCs w:val="28"/>
        </w:rPr>
        <w:t>.</w:t>
      </w:r>
    </w:p>
    <w:p w14:paraId="6874372A" w14:textId="504D1E60" w:rsidR="00277228" w:rsidRPr="00FF3AB4" w:rsidRDefault="00277228" w:rsidP="00277228">
      <w:pPr>
        <w:pStyle w:val="BodyText"/>
        <w:numPr>
          <w:ilvl w:val="0"/>
          <w:numId w:val="2"/>
        </w:numPr>
        <w:rPr>
          <w:rFonts w:asciiTheme="minorHAnsi" w:hAnsiTheme="minorHAnsi" w:cstheme="minorHAnsi"/>
          <w:sz w:val="28"/>
          <w:szCs w:val="28"/>
        </w:rPr>
      </w:pPr>
      <w:bookmarkStart w:id="6" w:name="_Toc121165390"/>
      <w:r w:rsidRPr="00FF3AB4">
        <w:rPr>
          <w:rFonts w:asciiTheme="minorHAnsi" w:hAnsiTheme="minorHAnsi" w:cstheme="minorHAnsi"/>
          <w:sz w:val="28"/>
          <w:szCs w:val="28"/>
        </w:rPr>
        <w:t xml:space="preserve">Reduce </w:t>
      </w:r>
      <w:r w:rsidR="0062774A" w:rsidRPr="00FF3AB4">
        <w:rPr>
          <w:rFonts w:asciiTheme="minorHAnsi" w:hAnsiTheme="minorHAnsi" w:cstheme="minorHAnsi"/>
          <w:sz w:val="28"/>
          <w:szCs w:val="28"/>
        </w:rPr>
        <w:t>nosocomial</w:t>
      </w:r>
      <w:r w:rsidRPr="00FF3AB4">
        <w:rPr>
          <w:rFonts w:asciiTheme="minorHAnsi" w:hAnsiTheme="minorHAnsi" w:cstheme="minorHAnsi"/>
          <w:sz w:val="28"/>
          <w:szCs w:val="28"/>
        </w:rPr>
        <w:t xml:space="preserve"> transmission by separating the high expected flow of infectious patients through hubs rather than usual GP waiting rooms and clinics</w:t>
      </w:r>
      <w:bookmarkEnd w:id="6"/>
      <w:r w:rsidR="001F0A1C">
        <w:rPr>
          <w:rFonts w:asciiTheme="minorHAnsi" w:hAnsiTheme="minorHAnsi" w:cstheme="minorHAnsi"/>
          <w:sz w:val="28"/>
          <w:szCs w:val="28"/>
        </w:rPr>
        <w:t>.</w:t>
      </w:r>
    </w:p>
    <w:p w14:paraId="4D754350" w14:textId="0212F900" w:rsidR="00277228" w:rsidRPr="00FF3AB4" w:rsidRDefault="00277228" w:rsidP="00277228">
      <w:pPr>
        <w:pStyle w:val="BodyText"/>
        <w:numPr>
          <w:ilvl w:val="0"/>
          <w:numId w:val="2"/>
        </w:numPr>
        <w:rPr>
          <w:rFonts w:asciiTheme="minorHAnsi" w:hAnsiTheme="minorHAnsi" w:cstheme="minorHAnsi"/>
          <w:sz w:val="28"/>
          <w:szCs w:val="28"/>
        </w:rPr>
      </w:pPr>
      <w:bookmarkStart w:id="7" w:name="_Toc121165391"/>
      <w:r w:rsidRPr="00FF3AB4">
        <w:rPr>
          <w:rFonts w:asciiTheme="minorHAnsi" w:hAnsiTheme="minorHAnsi" w:cstheme="minorHAnsi"/>
          <w:sz w:val="28"/>
          <w:szCs w:val="28"/>
        </w:rPr>
        <w:t>Seek to provide an accessible and equitable service to support same day access (with consideration given to the location of these services). This approach would support a positive impact on the health outcomes of the Core20PLUS population for tackling health inequalities and provision of inclusive services</w:t>
      </w:r>
      <w:bookmarkEnd w:id="7"/>
      <w:r w:rsidR="0036510F">
        <w:rPr>
          <w:rFonts w:asciiTheme="minorHAnsi" w:hAnsiTheme="minorHAnsi" w:cstheme="minorHAnsi"/>
          <w:sz w:val="28"/>
          <w:szCs w:val="28"/>
        </w:rPr>
        <w:t>.</w:t>
      </w:r>
    </w:p>
    <w:p w14:paraId="15697618" w14:textId="304E8160" w:rsidR="0062774A" w:rsidRPr="001D394F" w:rsidRDefault="00277228">
      <w:pPr>
        <w:pStyle w:val="BodyText"/>
        <w:numPr>
          <w:ilvl w:val="0"/>
          <w:numId w:val="2"/>
        </w:numPr>
        <w:rPr>
          <w:rFonts w:asciiTheme="minorHAnsi" w:hAnsiTheme="minorHAnsi" w:cstheme="minorHAnsi"/>
          <w:sz w:val="28"/>
          <w:szCs w:val="28"/>
        </w:rPr>
      </w:pPr>
      <w:bookmarkStart w:id="8" w:name="_Toc121165392"/>
      <w:r w:rsidRPr="00FF3AB4">
        <w:rPr>
          <w:rFonts w:asciiTheme="minorHAnsi" w:hAnsiTheme="minorHAnsi" w:cstheme="minorHAnsi"/>
          <w:sz w:val="28"/>
          <w:szCs w:val="28"/>
        </w:rPr>
        <w:t>Provide an opportunity for portfolio integrated care working and training for staff at system level that may help with staff development and retention. This could include optimizing workforce opportunities such as links with new Allied Health Professional</w:t>
      </w:r>
      <w:r w:rsidR="001D394F">
        <w:rPr>
          <w:rFonts w:asciiTheme="minorHAnsi" w:hAnsiTheme="minorHAnsi" w:cstheme="minorHAnsi"/>
          <w:sz w:val="28"/>
          <w:szCs w:val="28"/>
        </w:rPr>
        <w:t xml:space="preserve"> </w:t>
      </w:r>
      <w:r w:rsidRPr="001D394F">
        <w:rPr>
          <w:rFonts w:asciiTheme="minorHAnsi" w:hAnsiTheme="minorHAnsi" w:cstheme="minorHAnsi"/>
          <w:sz w:val="28"/>
          <w:szCs w:val="28"/>
        </w:rPr>
        <w:t>roles to support deliver</w:t>
      </w:r>
      <w:bookmarkEnd w:id="8"/>
      <w:r w:rsidR="001D394F">
        <w:rPr>
          <w:rFonts w:asciiTheme="minorHAnsi" w:hAnsiTheme="minorHAnsi" w:cstheme="minorHAnsi"/>
          <w:sz w:val="28"/>
          <w:szCs w:val="28"/>
        </w:rPr>
        <w:t>y.</w:t>
      </w:r>
      <w:bookmarkStart w:id="9" w:name="_Toc121165393"/>
      <w:bookmarkStart w:id="10" w:name="_Toc121171395"/>
      <w:bookmarkStart w:id="11" w:name="_Toc121239830"/>
    </w:p>
    <w:p w14:paraId="6C2BABDD" w14:textId="77777777" w:rsidR="0062774A" w:rsidRPr="00FF3AB4" w:rsidRDefault="0062774A" w:rsidP="0062774A">
      <w:pPr>
        <w:pStyle w:val="BodyText"/>
        <w:ind w:left="720"/>
        <w:rPr>
          <w:rFonts w:asciiTheme="minorHAnsi" w:hAnsiTheme="minorHAnsi" w:cstheme="minorHAnsi"/>
          <w:sz w:val="28"/>
          <w:szCs w:val="28"/>
        </w:rPr>
      </w:pPr>
    </w:p>
    <w:p w14:paraId="29C13E41" w14:textId="51C05F08" w:rsidR="00277228" w:rsidRPr="003435F3" w:rsidRDefault="00277228" w:rsidP="003435F3">
      <w:pPr>
        <w:pStyle w:val="BodyText"/>
        <w:rPr>
          <w:rFonts w:asciiTheme="minorHAnsi" w:hAnsiTheme="minorHAnsi" w:cstheme="minorHAnsi"/>
          <w:sz w:val="28"/>
          <w:szCs w:val="28"/>
        </w:rPr>
      </w:pPr>
      <w:r w:rsidRPr="00FF3AB4">
        <w:rPr>
          <w:rFonts w:asciiTheme="minorHAnsi" w:hAnsiTheme="minorHAnsi" w:cstheme="minorHAnsi"/>
          <w:sz w:val="28"/>
          <w:szCs w:val="28"/>
        </w:rPr>
        <w:lastRenderedPageBreak/>
        <w:t>It is recommended that where implemented, an ARI hub local evaluation should be undertaken to support development of evidence base and ensure sustainability of services.</w:t>
      </w:r>
      <w:bookmarkEnd w:id="9"/>
      <w:bookmarkEnd w:id="10"/>
      <w:bookmarkEnd w:id="11"/>
    </w:p>
    <w:p w14:paraId="1F66DF76" w14:textId="77777777" w:rsidR="003435F3" w:rsidRDefault="003435F3" w:rsidP="0062774A">
      <w:pPr>
        <w:rPr>
          <w:rFonts w:cstheme="minorHAnsi"/>
          <w:b/>
          <w:bCs/>
          <w:sz w:val="28"/>
          <w:szCs w:val="28"/>
          <w:u w:val="single"/>
        </w:rPr>
      </w:pPr>
    </w:p>
    <w:p w14:paraId="67250C1C" w14:textId="5C0AA4F3" w:rsidR="00FF3AB4" w:rsidRPr="00FF3AB4" w:rsidRDefault="0062774A" w:rsidP="0062774A">
      <w:pPr>
        <w:rPr>
          <w:rFonts w:cstheme="minorHAnsi"/>
          <w:b/>
          <w:bCs/>
          <w:sz w:val="28"/>
          <w:szCs w:val="28"/>
          <w:u w:val="single"/>
        </w:rPr>
      </w:pPr>
      <w:r w:rsidRPr="00FF3AB4">
        <w:rPr>
          <w:rFonts w:cstheme="minorHAnsi"/>
          <w:b/>
          <w:bCs/>
          <w:sz w:val="28"/>
          <w:szCs w:val="28"/>
          <w:u w:val="single"/>
        </w:rPr>
        <w:t>Key Clinical Functions</w:t>
      </w:r>
    </w:p>
    <w:p w14:paraId="4E6A3D18" w14:textId="77777777" w:rsidR="00FF3AB4" w:rsidRPr="00FF3AB4" w:rsidRDefault="00FF3AB4" w:rsidP="00FF3AB4">
      <w:pPr>
        <w:pStyle w:val="Default"/>
        <w:pBdr>
          <w:top w:val="single" w:sz="24" w:space="1" w:color="0070C0"/>
          <w:left w:val="single" w:sz="24" w:space="4" w:color="0070C0"/>
          <w:bottom w:val="single" w:sz="24" w:space="1" w:color="0070C0"/>
          <w:right w:val="single" w:sz="24" w:space="4" w:color="0070C0"/>
        </w:pBdr>
        <w:ind w:right="97"/>
        <w:jc w:val="center"/>
        <w:rPr>
          <w:rFonts w:asciiTheme="minorHAnsi" w:hAnsiTheme="minorHAnsi" w:cstheme="minorHAnsi"/>
          <w:b/>
          <w:bCs/>
          <w:color w:val="auto"/>
          <w:sz w:val="28"/>
          <w:szCs w:val="28"/>
        </w:rPr>
      </w:pPr>
      <w:r w:rsidRPr="00FF3AB4">
        <w:rPr>
          <w:rFonts w:asciiTheme="minorHAnsi" w:hAnsiTheme="minorHAnsi" w:cstheme="minorHAnsi"/>
          <w:b/>
          <w:bCs/>
          <w:color w:val="auto"/>
          <w:sz w:val="28"/>
          <w:szCs w:val="28"/>
        </w:rPr>
        <w:t>The inclusion criteria should be adults and children Aged 5 years and over with acute respiratory symptoms, most likely due to infection (e.g., bacterial, or viral infections including COVID-19, RSV, influenza), who have been identified through an initial remote/triage consultation as requiring face-to-face assessment but not as requiring hospitalisation.</w:t>
      </w:r>
    </w:p>
    <w:p w14:paraId="5CB69749" w14:textId="77777777" w:rsidR="00FF3AB4" w:rsidRPr="00FF3AB4" w:rsidRDefault="00FF3AB4" w:rsidP="00FF3AB4">
      <w:pPr>
        <w:pStyle w:val="Default"/>
        <w:pBdr>
          <w:top w:val="single" w:sz="24" w:space="1" w:color="0070C0"/>
          <w:left w:val="single" w:sz="24" w:space="4" w:color="0070C0"/>
          <w:bottom w:val="single" w:sz="24" w:space="1" w:color="0070C0"/>
          <w:right w:val="single" w:sz="24" w:space="4" w:color="0070C0"/>
        </w:pBdr>
        <w:ind w:right="97"/>
        <w:jc w:val="center"/>
        <w:rPr>
          <w:rFonts w:asciiTheme="minorHAnsi" w:hAnsiTheme="minorHAnsi" w:cstheme="minorHAnsi"/>
          <w:b/>
          <w:bCs/>
          <w:color w:val="auto"/>
          <w:sz w:val="28"/>
          <w:szCs w:val="28"/>
        </w:rPr>
      </w:pPr>
    </w:p>
    <w:p w14:paraId="63D6B5FE" w14:textId="77777777" w:rsidR="00FF3AB4" w:rsidRPr="00FF3AB4" w:rsidRDefault="00FF3AB4" w:rsidP="00FF3AB4">
      <w:pPr>
        <w:pStyle w:val="Default"/>
        <w:pBdr>
          <w:top w:val="single" w:sz="24" w:space="1" w:color="0070C0"/>
          <w:left w:val="single" w:sz="24" w:space="4" w:color="0070C0"/>
          <w:bottom w:val="single" w:sz="24" w:space="1" w:color="0070C0"/>
          <w:right w:val="single" w:sz="24" w:space="4" w:color="0070C0"/>
        </w:pBdr>
        <w:ind w:right="97"/>
        <w:jc w:val="center"/>
        <w:rPr>
          <w:rFonts w:asciiTheme="minorHAnsi" w:hAnsiTheme="minorHAnsi" w:cstheme="minorHAnsi"/>
          <w:b/>
          <w:bCs/>
          <w:color w:val="auto"/>
          <w:sz w:val="28"/>
          <w:szCs w:val="28"/>
        </w:rPr>
      </w:pPr>
      <w:r w:rsidRPr="00FF3AB4">
        <w:rPr>
          <w:rFonts w:asciiTheme="minorHAnsi" w:hAnsiTheme="minorHAnsi" w:cstheme="minorHAnsi"/>
          <w:b/>
          <w:bCs/>
          <w:color w:val="auto"/>
          <w:sz w:val="28"/>
          <w:szCs w:val="28"/>
        </w:rPr>
        <w:t>Consideration will need to be given to those more complex patients who may benefit from continuity of care in their general practice setting</w:t>
      </w:r>
    </w:p>
    <w:p w14:paraId="02455C6E" w14:textId="0D943C07" w:rsidR="00277228" w:rsidRPr="00FF3AB4" w:rsidRDefault="00277228">
      <w:pPr>
        <w:rPr>
          <w:rFonts w:cstheme="minorHAnsi"/>
        </w:rPr>
      </w:pPr>
    </w:p>
    <w:p w14:paraId="578909FF" w14:textId="2BC270FF" w:rsidR="00FF3AB4" w:rsidRPr="00FF3AB4" w:rsidRDefault="00FF3AB4" w:rsidP="00FF3AB4">
      <w:pPr>
        <w:pStyle w:val="BodyText"/>
        <w:spacing w:line="259" w:lineRule="auto"/>
        <w:ind w:right="97"/>
        <w:jc w:val="both"/>
        <w:rPr>
          <w:rFonts w:asciiTheme="minorHAnsi" w:hAnsiTheme="minorHAnsi" w:cstheme="minorHAnsi"/>
          <w:sz w:val="28"/>
          <w:szCs w:val="28"/>
        </w:rPr>
      </w:pPr>
      <w:r w:rsidRPr="00FF3AB4">
        <w:rPr>
          <w:rFonts w:asciiTheme="minorHAnsi" w:hAnsiTheme="minorHAnsi" w:cstheme="minorHAnsi"/>
          <w:sz w:val="28"/>
          <w:szCs w:val="28"/>
        </w:rPr>
        <w:t xml:space="preserve">The Acute Respiratory Hub is for those patients </w:t>
      </w:r>
      <w:r w:rsidR="00475DFB" w:rsidRPr="00475DFB">
        <w:rPr>
          <w:rFonts w:asciiTheme="minorHAnsi" w:hAnsiTheme="minorHAnsi" w:cstheme="minorHAnsi"/>
          <w:b/>
          <w:bCs/>
          <w:sz w:val="28"/>
          <w:szCs w:val="28"/>
          <w:highlight w:val="yellow"/>
        </w:rPr>
        <w:t>aged 5 or over</w:t>
      </w:r>
      <w:r w:rsidR="00475DFB">
        <w:rPr>
          <w:rFonts w:asciiTheme="minorHAnsi" w:hAnsiTheme="minorHAnsi" w:cstheme="minorHAnsi"/>
          <w:sz w:val="28"/>
          <w:szCs w:val="28"/>
        </w:rPr>
        <w:t xml:space="preserve"> </w:t>
      </w:r>
      <w:r w:rsidRPr="00FF3AB4">
        <w:rPr>
          <w:rFonts w:asciiTheme="minorHAnsi" w:hAnsiTheme="minorHAnsi" w:cstheme="minorHAnsi"/>
          <w:sz w:val="28"/>
          <w:szCs w:val="28"/>
        </w:rPr>
        <w:t xml:space="preserve">with symptoms of an Acute Respiratory Infection following who need a </w:t>
      </w:r>
      <w:r w:rsidRPr="00475DFB">
        <w:rPr>
          <w:rFonts w:asciiTheme="minorHAnsi" w:hAnsiTheme="minorHAnsi" w:cstheme="minorHAnsi"/>
          <w:b/>
          <w:bCs/>
          <w:sz w:val="28"/>
          <w:szCs w:val="28"/>
          <w:highlight w:val="yellow"/>
        </w:rPr>
        <w:t>face-to-face assessment following a clinical triage</w:t>
      </w:r>
      <w:r w:rsidR="00475DFB" w:rsidRPr="00475DFB">
        <w:rPr>
          <w:rFonts w:asciiTheme="minorHAnsi" w:hAnsiTheme="minorHAnsi" w:cstheme="minorHAnsi"/>
          <w:b/>
          <w:bCs/>
          <w:sz w:val="28"/>
          <w:szCs w:val="28"/>
        </w:rPr>
        <w:t xml:space="preserve"> </w:t>
      </w:r>
      <w:r w:rsidR="00475DFB">
        <w:rPr>
          <w:rFonts w:asciiTheme="minorHAnsi" w:hAnsiTheme="minorHAnsi" w:cstheme="minorHAnsi"/>
          <w:sz w:val="28"/>
          <w:szCs w:val="28"/>
        </w:rPr>
        <w:t>by their registered GP practice</w:t>
      </w:r>
      <w:r w:rsidRPr="00FF3AB4">
        <w:rPr>
          <w:rFonts w:asciiTheme="minorHAnsi" w:hAnsiTheme="minorHAnsi" w:cstheme="minorHAnsi"/>
          <w:sz w:val="28"/>
          <w:szCs w:val="28"/>
        </w:rPr>
        <w:t xml:space="preserve">. </w:t>
      </w:r>
    </w:p>
    <w:p w14:paraId="3F5158D9" w14:textId="77777777" w:rsidR="00FF3AB4" w:rsidRPr="00FF3AB4" w:rsidRDefault="00FF3AB4" w:rsidP="00FF3AB4">
      <w:pPr>
        <w:pStyle w:val="BodyText"/>
        <w:spacing w:line="259" w:lineRule="auto"/>
        <w:ind w:right="97"/>
        <w:jc w:val="both"/>
        <w:rPr>
          <w:rFonts w:asciiTheme="minorHAnsi" w:hAnsiTheme="minorHAnsi" w:cstheme="minorHAnsi"/>
          <w:sz w:val="28"/>
          <w:szCs w:val="28"/>
        </w:rPr>
      </w:pPr>
    </w:p>
    <w:p w14:paraId="0ACF8E0C" w14:textId="70A084BA" w:rsidR="00FF3AB4" w:rsidRPr="003435F3" w:rsidRDefault="00FF3AB4" w:rsidP="003435F3">
      <w:pPr>
        <w:pStyle w:val="BodyText"/>
        <w:spacing w:line="259" w:lineRule="auto"/>
        <w:ind w:right="97"/>
        <w:jc w:val="both"/>
        <w:rPr>
          <w:rFonts w:asciiTheme="minorHAnsi" w:hAnsiTheme="minorHAnsi" w:cstheme="minorHAnsi"/>
          <w:sz w:val="28"/>
          <w:szCs w:val="28"/>
        </w:rPr>
      </w:pPr>
      <w:r w:rsidRPr="00FF3AB4">
        <w:rPr>
          <w:rFonts w:asciiTheme="minorHAnsi" w:hAnsiTheme="minorHAnsi" w:cstheme="minorHAnsi"/>
          <w:sz w:val="28"/>
          <w:szCs w:val="28"/>
        </w:rPr>
        <w:t xml:space="preserve">The Hub is not for all patients with likely Viral Illness. Those who only have mild symptoms should self-care at home, but it is for those who are symptomatic and who have sought medical help and triage determines the need for a face-to-face appointment </w:t>
      </w:r>
    </w:p>
    <w:p w14:paraId="50715943" w14:textId="277A47CB" w:rsidR="00FF3AB4" w:rsidRPr="00FF3AB4" w:rsidRDefault="00FF3AB4">
      <w:pPr>
        <w:rPr>
          <w:rFonts w:cstheme="minorHAnsi"/>
        </w:rPr>
      </w:pPr>
    </w:p>
    <w:p w14:paraId="5CA9A358" w14:textId="77777777" w:rsidR="00FF3AB4" w:rsidRPr="00FF3AB4" w:rsidRDefault="00FF3AB4" w:rsidP="00FF3AB4">
      <w:pPr>
        <w:pBdr>
          <w:top w:val="single" w:sz="24" w:space="1" w:color="7030A0"/>
          <w:left w:val="single" w:sz="24" w:space="4" w:color="7030A0"/>
          <w:bottom w:val="single" w:sz="24" w:space="1" w:color="7030A0"/>
          <w:right w:val="single" w:sz="24" w:space="4" w:color="7030A0"/>
        </w:pBdr>
        <w:spacing w:before="18"/>
        <w:ind w:left="108"/>
        <w:jc w:val="center"/>
        <w:rPr>
          <w:rFonts w:cstheme="minorHAnsi"/>
          <w:b/>
          <w:sz w:val="28"/>
          <w:szCs w:val="28"/>
        </w:rPr>
      </w:pPr>
      <w:r w:rsidRPr="00FF3AB4">
        <w:rPr>
          <w:rFonts w:cstheme="minorHAnsi"/>
          <w:b/>
          <w:sz w:val="28"/>
          <w:szCs w:val="28"/>
          <w:u w:val="single"/>
        </w:rPr>
        <w:t>ACUTE RESPIRATORY INFECTION HUB</w:t>
      </w:r>
    </w:p>
    <w:p w14:paraId="72EC5BDB" w14:textId="77777777" w:rsidR="00FF3AB4" w:rsidRPr="00FF3AB4" w:rsidRDefault="00FF3AB4" w:rsidP="00FF3AB4">
      <w:pPr>
        <w:pBdr>
          <w:top w:val="single" w:sz="24" w:space="1" w:color="7030A0"/>
          <w:left w:val="single" w:sz="24" w:space="4" w:color="7030A0"/>
          <w:bottom w:val="single" w:sz="24" w:space="1" w:color="7030A0"/>
          <w:right w:val="single" w:sz="24" w:space="4" w:color="7030A0"/>
        </w:pBdr>
        <w:spacing w:before="179"/>
        <w:ind w:left="108"/>
        <w:jc w:val="center"/>
        <w:rPr>
          <w:rFonts w:cstheme="minorHAnsi"/>
          <w:b/>
          <w:sz w:val="28"/>
          <w:szCs w:val="28"/>
        </w:rPr>
      </w:pPr>
      <w:r w:rsidRPr="00FF3AB4">
        <w:rPr>
          <w:rFonts w:cstheme="minorHAnsi"/>
          <w:b/>
          <w:sz w:val="28"/>
          <w:szCs w:val="28"/>
        </w:rPr>
        <w:t>SOUTHAMPTON SPCL – ARI Hubs</w:t>
      </w:r>
    </w:p>
    <w:p w14:paraId="1920F22B" w14:textId="796B6C08" w:rsidR="00FF3AB4" w:rsidRPr="003435F3" w:rsidRDefault="00FF3AB4" w:rsidP="003435F3">
      <w:pPr>
        <w:pBdr>
          <w:top w:val="single" w:sz="24" w:space="1" w:color="7030A0"/>
          <w:left w:val="single" w:sz="24" w:space="4" w:color="7030A0"/>
          <w:bottom w:val="single" w:sz="24" w:space="1" w:color="7030A0"/>
          <w:right w:val="single" w:sz="24" w:space="4" w:color="7030A0"/>
        </w:pBdr>
        <w:spacing w:before="179"/>
        <w:ind w:left="108"/>
        <w:jc w:val="center"/>
        <w:rPr>
          <w:rFonts w:cstheme="minorHAnsi"/>
          <w:b/>
          <w:sz w:val="28"/>
          <w:szCs w:val="28"/>
        </w:rPr>
      </w:pPr>
      <w:r w:rsidRPr="00FF3AB4">
        <w:rPr>
          <w:rFonts w:cstheme="minorHAnsi"/>
          <w:sz w:val="28"/>
          <w:szCs w:val="28"/>
        </w:rPr>
        <w:t xml:space="preserve">Opening </w:t>
      </w:r>
      <w:r w:rsidR="00475DFB" w:rsidRPr="00FF3AB4">
        <w:rPr>
          <w:rFonts w:cstheme="minorHAnsi"/>
          <w:sz w:val="28"/>
          <w:szCs w:val="28"/>
        </w:rPr>
        <w:t>Hours:</w:t>
      </w:r>
      <w:r w:rsidR="00475DFB">
        <w:rPr>
          <w:rFonts w:cstheme="minorHAnsi"/>
          <w:sz w:val="28"/>
          <w:szCs w:val="28"/>
        </w:rPr>
        <w:t xml:space="preserve"> 09:30</w:t>
      </w:r>
      <w:r w:rsidRPr="00FF3AB4">
        <w:rPr>
          <w:rFonts w:cstheme="minorHAnsi"/>
          <w:sz w:val="28"/>
          <w:szCs w:val="28"/>
        </w:rPr>
        <w:t>– 18:30 Monday to Friday</w:t>
      </w:r>
    </w:p>
    <w:p w14:paraId="1F1D6E95" w14:textId="3CB32116" w:rsidR="00FF3AB4" w:rsidRDefault="00FF3AB4" w:rsidP="00FF3AB4">
      <w:pPr>
        <w:rPr>
          <w:rFonts w:cstheme="minorHAnsi"/>
          <w:b/>
          <w:bCs/>
          <w:sz w:val="28"/>
          <w:szCs w:val="28"/>
          <w:u w:val="single"/>
        </w:rPr>
      </w:pPr>
      <w:r>
        <w:rPr>
          <w:rFonts w:cstheme="minorHAnsi"/>
          <w:b/>
          <w:bCs/>
          <w:sz w:val="28"/>
          <w:szCs w:val="28"/>
          <w:u w:val="single"/>
        </w:rPr>
        <w:t>How will the ARI Hub work?</w:t>
      </w:r>
    </w:p>
    <w:p w14:paraId="46AE3841" w14:textId="1B633F6A" w:rsidR="00FF3AB4" w:rsidRDefault="00FF3AB4" w:rsidP="00FF3AB4">
      <w:pPr>
        <w:pStyle w:val="BodyText"/>
        <w:spacing w:before="56" w:line="259" w:lineRule="auto"/>
        <w:ind w:right="97"/>
        <w:jc w:val="both"/>
        <w:rPr>
          <w:rFonts w:asciiTheme="minorHAnsi" w:hAnsiTheme="minorHAnsi" w:cstheme="minorHAnsi"/>
          <w:sz w:val="28"/>
          <w:szCs w:val="28"/>
        </w:rPr>
      </w:pPr>
      <w:r w:rsidRPr="003D7AF3">
        <w:rPr>
          <w:rFonts w:asciiTheme="minorHAnsi" w:hAnsiTheme="minorHAnsi" w:cstheme="minorHAnsi"/>
          <w:sz w:val="28"/>
          <w:szCs w:val="28"/>
        </w:rPr>
        <w:t>The ARI Hub will be staffed by a combination of GPs</w:t>
      </w:r>
      <w:r w:rsidR="007C7431">
        <w:rPr>
          <w:rFonts w:asciiTheme="minorHAnsi" w:hAnsiTheme="minorHAnsi" w:cstheme="minorHAnsi"/>
          <w:sz w:val="28"/>
          <w:szCs w:val="28"/>
        </w:rPr>
        <w:t>, PCPs and HCAs</w:t>
      </w:r>
      <w:r w:rsidRPr="003D7AF3">
        <w:rPr>
          <w:rFonts w:asciiTheme="minorHAnsi" w:hAnsiTheme="minorHAnsi" w:cstheme="minorHAnsi"/>
          <w:sz w:val="28"/>
          <w:szCs w:val="28"/>
        </w:rPr>
        <w:t xml:space="preserve"> who </w:t>
      </w:r>
      <w:r w:rsidR="007C7431">
        <w:rPr>
          <w:rFonts w:asciiTheme="minorHAnsi" w:hAnsiTheme="minorHAnsi" w:cstheme="minorHAnsi"/>
          <w:sz w:val="28"/>
          <w:szCs w:val="28"/>
        </w:rPr>
        <w:t>will</w:t>
      </w:r>
      <w:r w:rsidR="007C7431" w:rsidRPr="003D7AF3">
        <w:rPr>
          <w:rFonts w:asciiTheme="minorHAnsi" w:hAnsiTheme="minorHAnsi" w:cstheme="minorHAnsi"/>
          <w:sz w:val="28"/>
          <w:szCs w:val="28"/>
        </w:rPr>
        <w:t xml:space="preserve"> </w:t>
      </w:r>
      <w:r w:rsidRPr="003D7AF3">
        <w:rPr>
          <w:rFonts w:asciiTheme="minorHAnsi" w:hAnsiTheme="minorHAnsi" w:cstheme="minorHAnsi"/>
          <w:sz w:val="28"/>
          <w:szCs w:val="28"/>
        </w:rPr>
        <w:t>provid</w:t>
      </w:r>
      <w:r w:rsidR="007C7431">
        <w:rPr>
          <w:rFonts w:asciiTheme="minorHAnsi" w:hAnsiTheme="minorHAnsi" w:cstheme="minorHAnsi"/>
          <w:sz w:val="28"/>
          <w:szCs w:val="28"/>
        </w:rPr>
        <w:t>e</w:t>
      </w:r>
      <w:r w:rsidRPr="003D7AF3">
        <w:rPr>
          <w:rFonts w:asciiTheme="minorHAnsi" w:hAnsiTheme="minorHAnsi" w:cstheme="minorHAnsi"/>
          <w:sz w:val="28"/>
          <w:szCs w:val="28"/>
        </w:rPr>
        <w:t xml:space="preserve"> face to face assessment. </w:t>
      </w:r>
    </w:p>
    <w:p w14:paraId="006E58E7" w14:textId="5F11BDE1" w:rsidR="00FF3AB4" w:rsidRDefault="00FF3AB4" w:rsidP="00FF3AB4">
      <w:pPr>
        <w:pStyle w:val="BodyText"/>
        <w:spacing w:before="56" w:line="259" w:lineRule="auto"/>
        <w:ind w:right="97"/>
        <w:jc w:val="both"/>
        <w:rPr>
          <w:rFonts w:asciiTheme="minorHAnsi" w:hAnsiTheme="minorHAnsi" w:cstheme="minorHAnsi"/>
          <w:sz w:val="28"/>
          <w:szCs w:val="28"/>
        </w:rPr>
      </w:pPr>
      <w:r w:rsidRPr="003D7AF3">
        <w:rPr>
          <w:rFonts w:asciiTheme="minorHAnsi" w:hAnsiTheme="minorHAnsi" w:cstheme="minorHAnsi"/>
          <w:sz w:val="28"/>
          <w:szCs w:val="28"/>
        </w:rPr>
        <w:t xml:space="preserve">Operations support will be provided by the Operations Lead at SPCL. </w:t>
      </w:r>
    </w:p>
    <w:p w14:paraId="2E16629E" w14:textId="49847D41" w:rsidR="004F312A" w:rsidRDefault="00FF3AB4" w:rsidP="00FF3AB4">
      <w:pPr>
        <w:rPr>
          <w:rFonts w:cstheme="minorHAnsi"/>
          <w:sz w:val="28"/>
          <w:szCs w:val="28"/>
        </w:rPr>
      </w:pPr>
      <w:r w:rsidRPr="003D7AF3">
        <w:rPr>
          <w:rFonts w:cstheme="minorHAnsi"/>
          <w:sz w:val="28"/>
          <w:szCs w:val="28"/>
        </w:rPr>
        <w:t xml:space="preserve">All patients will have a baseline set of observations taken and consideration </w:t>
      </w:r>
      <w:r w:rsidR="007C7431">
        <w:rPr>
          <w:rFonts w:cstheme="minorHAnsi"/>
          <w:sz w:val="28"/>
          <w:szCs w:val="28"/>
        </w:rPr>
        <w:t>for</w:t>
      </w:r>
      <w:r w:rsidRPr="003D7AF3">
        <w:rPr>
          <w:rFonts w:cstheme="minorHAnsi"/>
          <w:sz w:val="28"/>
          <w:szCs w:val="28"/>
        </w:rPr>
        <w:t xml:space="preserve"> Point of Care testing. This, along with a clinical assessment, will then determine whether they can safely self-manage at home, or whether they require active monitoring through the ARI@Home or SPCL Virtual Ward pathways, or whether they need admission to UHS</w:t>
      </w:r>
      <w:r w:rsidR="00F62711">
        <w:rPr>
          <w:rFonts w:cstheme="minorHAnsi"/>
          <w:sz w:val="28"/>
          <w:szCs w:val="28"/>
        </w:rPr>
        <w:t>.</w:t>
      </w:r>
    </w:p>
    <w:p w14:paraId="0EF850BA" w14:textId="143BA57E" w:rsidR="004F312A" w:rsidRPr="004F312A" w:rsidRDefault="004F312A" w:rsidP="00FF3AB4">
      <w:pPr>
        <w:rPr>
          <w:rFonts w:cstheme="minorHAnsi"/>
          <w:b/>
          <w:bCs/>
          <w:sz w:val="28"/>
          <w:szCs w:val="28"/>
          <w:u w:val="single"/>
        </w:rPr>
      </w:pPr>
      <w:r w:rsidRPr="004F312A">
        <w:rPr>
          <w:rFonts w:cstheme="minorHAnsi"/>
          <w:b/>
          <w:bCs/>
          <w:sz w:val="28"/>
          <w:szCs w:val="28"/>
        </w:rPr>
        <w:lastRenderedPageBreak/>
        <w:t>Table 1 – Clinical signs &amp; symptoms that indicate possible bacterial causes of RTI or COPD.</w:t>
      </w:r>
    </w:p>
    <w:p w14:paraId="24EE0920" w14:textId="77777777" w:rsidR="004F312A" w:rsidRDefault="00FF3AB4" w:rsidP="00853B60">
      <w:pPr>
        <w:rPr>
          <w:rFonts w:cstheme="minorHAnsi"/>
        </w:rPr>
      </w:pPr>
      <w:r w:rsidRPr="00040420">
        <w:rPr>
          <w:rFonts w:cstheme="minorHAnsi"/>
          <w:noProof/>
        </w:rPr>
        <w:drawing>
          <wp:inline distT="0" distB="0" distL="0" distR="0" wp14:anchorId="799E2D79" wp14:editId="65CBD9B3">
            <wp:extent cx="6645910" cy="5490760"/>
            <wp:effectExtent l="0" t="0" r="2540" b="0"/>
            <wp:docPr id="141" name="Graphic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6645910" cy="5490760"/>
                    </a:xfrm>
                    <a:prstGeom prst="rect">
                      <a:avLst/>
                    </a:prstGeom>
                  </pic:spPr>
                </pic:pic>
              </a:graphicData>
            </a:graphic>
          </wp:inline>
        </w:drawing>
      </w:r>
    </w:p>
    <w:p w14:paraId="5BF26F4D" w14:textId="11F5FCC0" w:rsidR="00853B60" w:rsidRPr="004F312A" w:rsidRDefault="00853B60" w:rsidP="00853B60">
      <w:pPr>
        <w:rPr>
          <w:rFonts w:cstheme="minorHAnsi"/>
        </w:rPr>
      </w:pPr>
      <w:r>
        <w:rPr>
          <w:rFonts w:cstheme="minorHAnsi"/>
          <w:b/>
          <w:bCs/>
          <w:sz w:val="28"/>
          <w:szCs w:val="28"/>
          <w:u w:val="single"/>
        </w:rPr>
        <w:t>Consultation Outcomes</w:t>
      </w:r>
    </w:p>
    <w:p w14:paraId="40FF7242" w14:textId="28A25625" w:rsidR="00853B60" w:rsidRPr="004F312A" w:rsidRDefault="00853B60" w:rsidP="00853B60">
      <w:pPr>
        <w:pStyle w:val="ListParagraph"/>
        <w:numPr>
          <w:ilvl w:val="0"/>
          <w:numId w:val="3"/>
        </w:numPr>
        <w:ind w:right="97"/>
        <w:rPr>
          <w:rFonts w:asciiTheme="minorHAnsi" w:hAnsiTheme="minorHAnsi" w:cstheme="minorHAnsi"/>
          <w:sz w:val="28"/>
          <w:szCs w:val="28"/>
        </w:rPr>
      </w:pPr>
      <w:r w:rsidRPr="003D7AF3">
        <w:rPr>
          <w:rFonts w:asciiTheme="minorHAnsi" w:hAnsiTheme="minorHAnsi" w:cstheme="minorHAnsi"/>
          <w:sz w:val="28"/>
          <w:szCs w:val="28"/>
        </w:rPr>
        <w:t>RED – Discuss with ED Triage Nurse and advise that patient is critically unwell and will need review in Majors/Resus by Medical Team</w:t>
      </w:r>
    </w:p>
    <w:p w14:paraId="7E34C5BE" w14:textId="3901F8DC" w:rsidR="00853B60" w:rsidRPr="004F312A" w:rsidRDefault="00853B60" w:rsidP="004F312A">
      <w:pPr>
        <w:pStyle w:val="ListParagraph"/>
        <w:numPr>
          <w:ilvl w:val="0"/>
          <w:numId w:val="3"/>
        </w:numPr>
        <w:jc w:val="both"/>
        <w:rPr>
          <w:rFonts w:eastAsiaTheme="minorHAnsi"/>
          <w:sz w:val="28"/>
          <w:szCs w:val="28"/>
        </w:rPr>
      </w:pPr>
      <w:bookmarkStart w:id="12" w:name="_Hlk121221192"/>
      <w:r w:rsidRPr="003D7AF3">
        <w:rPr>
          <w:rFonts w:asciiTheme="minorHAnsi" w:hAnsiTheme="minorHAnsi" w:cstheme="minorHAnsi"/>
          <w:sz w:val="28"/>
          <w:szCs w:val="28"/>
        </w:rPr>
        <w:t xml:space="preserve">AMBER – Call </w:t>
      </w:r>
      <w:r w:rsidRPr="00475DFB">
        <w:rPr>
          <w:rFonts w:asciiTheme="minorHAnsi" w:hAnsiTheme="minorHAnsi" w:cstheme="minorHAnsi"/>
          <w:sz w:val="28"/>
          <w:szCs w:val="28"/>
          <w:highlight w:val="yellow"/>
        </w:rPr>
        <w:t>(insert number)</w:t>
      </w:r>
      <w:r w:rsidRPr="003D7AF3">
        <w:rPr>
          <w:rFonts w:cstheme="minorHAnsi"/>
          <w:sz w:val="28"/>
          <w:szCs w:val="28"/>
        </w:rPr>
        <w:t xml:space="preserve"> </w:t>
      </w:r>
      <w:r w:rsidRPr="003D7AF3">
        <w:rPr>
          <w:rFonts w:asciiTheme="minorHAnsi" w:hAnsiTheme="minorHAnsi" w:cstheme="minorHAnsi"/>
          <w:sz w:val="28"/>
          <w:szCs w:val="28"/>
        </w:rPr>
        <w:t xml:space="preserve">and consider further patient assessment in SDEC and/or admission to UHS. </w:t>
      </w:r>
      <w:r w:rsidRPr="003D7AF3">
        <w:rPr>
          <w:sz w:val="28"/>
          <w:szCs w:val="28"/>
        </w:rPr>
        <w:t>The virtual ward team can support with patients at high risk of hospital admission that require daily follow ups. Ideally patients should be able to submit their observations onto our digital platform, however we are also able to support patients through telephone calls that do not have access to digital technology.  We can support patients that are in the ‘Amber’ category with Oxygen saturations between 93-94% or above or a News of 4 or below.  Please also i</w:t>
      </w:r>
      <w:r w:rsidRPr="003D7AF3">
        <w:rPr>
          <w:rFonts w:asciiTheme="minorHAnsi" w:hAnsiTheme="minorHAnsi" w:cstheme="minorHAnsi"/>
          <w:sz w:val="28"/>
          <w:szCs w:val="28"/>
        </w:rPr>
        <w:t xml:space="preserve">ssue </w:t>
      </w:r>
      <w:r w:rsidRPr="003D7AF3">
        <w:rPr>
          <w:rFonts w:asciiTheme="minorHAnsi" w:hAnsiTheme="minorHAnsi" w:cstheme="minorHAnsi"/>
          <w:sz w:val="28"/>
          <w:szCs w:val="28"/>
        </w:rPr>
        <w:lastRenderedPageBreak/>
        <w:t>patient with a Pulse Oximeter</w:t>
      </w:r>
      <w:bookmarkEnd w:id="12"/>
      <w:r w:rsidR="00290937">
        <w:rPr>
          <w:rFonts w:asciiTheme="minorHAnsi" w:hAnsiTheme="minorHAnsi" w:cstheme="minorHAnsi"/>
          <w:sz w:val="28"/>
          <w:szCs w:val="28"/>
        </w:rPr>
        <w:t>.</w:t>
      </w:r>
    </w:p>
    <w:p w14:paraId="2A3B368A" w14:textId="332C7BB0" w:rsidR="00853B60" w:rsidRPr="004F312A" w:rsidRDefault="00853B60" w:rsidP="00853B60">
      <w:pPr>
        <w:pStyle w:val="ListParagraph"/>
        <w:numPr>
          <w:ilvl w:val="0"/>
          <w:numId w:val="3"/>
        </w:numPr>
        <w:ind w:right="97"/>
        <w:rPr>
          <w:rFonts w:asciiTheme="minorHAnsi" w:hAnsiTheme="minorHAnsi" w:cstheme="minorHAnsi"/>
          <w:sz w:val="28"/>
          <w:szCs w:val="28"/>
        </w:rPr>
      </w:pPr>
      <w:r w:rsidRPr="003D7AF3">
        <w:rPr>
          <w:rFonts w:asciiTheme="minorHAnsi" w:hAnsiTheme="minorHAnsi" w:cstheme="minorHAnsi"/>
          <w:sz w:val="28"/>
          <w:szCs w:val="28"/>
        </w:rPr>
        <w:t xml:space="preserve">GREEN – HIGH RISK – Discuss with ARI@Home team via </w:t>
      </w:r>
      <w:r w:rsidR="004F312A">
        <w:rPr>
          <w:rFonts w:asciiTheme="minorHAnsi" w:hAnsiTheme="minorHAnsi" w:cstheme="minorHAnsi"/>
          <w:sz w:val="28"/>
          <w:szCs w:val="28"/>
        </w:rPr>
        <w:t>SPCL Central Hub (02380 170610</w:t>
      </w:r>
      <w:r w:rsidRPr="003D7AF3">
        <w:rPr>
          <w:rFonts w:asciiTheme="minorHAnsi" w:hAnsiTheme="minorHAnsi" w:cstheme="minorHAnsi"/>
          <w:sz w:val="28"/>
          <w:szCs w:val="28"/>
        </w:rPr>
        <w:t>) and admit to ARI@Home pathway. Issue patient with Pulse Oximeter. There will be a stock held in each Clinical Room.</w:t>
      </w:r>
    </w:p>
    <w:p w14:paraId="3CA81005" w14:textId="5C35AB5A" w:rsidR="00853B60" w:rsidRPr="003D7AF3" w:rsidRDefault="00853B60" w:rsidP="00853B60">
      <w:pPr>
        <w:pStyle w:val="ListParagraph"/>
        <w:numPr>
          <w:ilvl w:val="0"/>
          <w:numId w:val="3"/>
        </w:numPr>
        <w:ind w:right="97"/>
        <w:rPr>
          <w:rFonts w:asciiTheme="minorHAnsi" w:hAnsiTheme="minorHAnsi" w:cstheme="minorHAnsi"/>
          <w:sz w:val="28"/>
          <w:szCs w:val="28"/>
        </w:rPr>
      </w:pPr>
      <w:r w:rsidRPr="003D7AF3">
        <w:rPr>
          <w:rFonts w:asciiTheme="minorHAnsi" w:hAnsiTheme="minorHAnsi" w:cstheme="minorHAnsi"/>
          <w:sz w:val="28"/>
          <w:szCs w:val="28"/>
        </w:rPr>
        <w:t>GREEN – LOW RISK – Reassure and advise patient. Discuss safety netting and signpost to online resources</w:t>
      </w:r>
      <w:r w:rsidR="00F07244">
        <w:rPr>
          <w:rFonts w:asciiTheme="minorHAnsi" w:hAnsiTheme="minorHAnsi" w:cstheme="minorHAnsi"/>
          <w:sz w:val="28"/>
          <w:szCs w:val="28"/>
        </w:rPr>
        <w:t>.</w:t>
      </w:r>
    </w:p>
    <w:p w14:paraId="167B5906" w14:textId="77777777" w:rsidR="00853B60" w:rsidRPr="003D7AF3" w:rsidRDefault="00853B60" w:rsidP="00853B60">
      <w:pPr>
        <w:ind w:right="97"/>
        <w:rPr>
          <w:rFonts w:cstheme="minorHAnsi"/>
          <w:sz w:val="28"/>
          <w:szCs w:val="28"/>
        </w:rPr>
      </w:pPr>
    </w:p>
    <w:p w14:paraId="23B1CC8D" w14:textId="4C91CC9A" w:rsidR="004F312A" w:rsidRDefault="00853B60" w:rsidP="00853B60">
      <w:pPr>
        <w:rPr>
          <w:rFonts w:cstheme="minorHAnsi"/>
          <w:sz w:val="28"/>
          <w:szCs w:val="28"/>
        </w:rPr>
      </w:pPr>
      <w:r w:rsidRPr="003D7AF3">
        <w:rPr>
          <w:rFonts w:cstheme="minorHAnsi"/>
          <w:sz w:val="28"/>
          <w:szCs w:val="28"/>
        </w:rPr>
        <w:t>NOT SUITABLE FOR ESCALATION - Consider patients who might not be suitable for escalation to a hospital setting and please discuss early with Palliative Care team to consider JIC medication and support, especially if actively dying.</w:t>
      </w:r>
    </w:p>
    <w:p w14:paraId="10631C98" w14:textId="60E30D6E" w:rsidR="004F312A" w:rsidRPr="004F312A" w:rsidRDefault="004F312A" w:rsidP="00853B60">
      <w:pPr>
        <w:rPr>
          <w:rFonts w:cstheme="minorHAnsi"/>
          <w:b/>
          <w:bCs/>
          <w:sz w:val="28"/>
          <w:szCs w:val="28"/>
        </w:rPr>
      </w:pPr>
    </w:p>
    <w:tbl>
      <w:tblPr>
        <w:tblW w:w="10827" w:type="dxa"/>
        <w:tblCellMar>
          <w:top w:w="15" w:type="dxa"/>
        </w:tblCellMar>
        <w:tblLook w:val="04A0" w:firstRow="1" w:lastRow="0" w:firstColumn="1" w:lastColumn="0" w:noHBand="0" w:noVBand="1"/>
      </w:tblPr>
      <w:tblGrid>
        <w:gridCol w:w="2056"/>
        <w:gridCol w:w="2167"/>
        <w:gridCol w:w="2181"/>
        <w:gridCol w:w="2161"/>
        <w:gridCol w:w="2025"/>
        <w:gridCol w:w="237"/>
      </w:tblGrid>
      <w:tr w:rsidR="004F312A" w:rsidRPr="004F312A" w14:paraId="7CFBD3B8" w14:textId="77777777" w:rsidTr="004F312A">
        <w:trPr>
          <w:gridAfter w:val="1"/>
          <w:wAfter w:w="237" w:type="dxa"/>
          <w:trHeight w:val="469"/>
        </w:trPr>
        <w:tc>
          <w:tcPr>
            <w:tcW w:w="10590" w:type="dxa"/>
            <w:gridSpan w:val="5"/>
            <w:vMerge w:val="restart"/>
            <w:tcBorders>
              <w:top w:val="nil"/>
              <w:left w:val="nil"/>
              <w:bottom w:val="single" w:sz="4" w:space="0" w:color="FFFFFF"/>
              <w:right w:val="single" w:sz="4" w:space="0" w:color="FFFFFF"/>
            </w:tcBorders>
            <w:shd w:val="clear" w:color="000000" w:fill="002060"/>
            <w:vAlign w:val="center"/>
            <w:hideMark/>
          </w:tcPr>
          <w:p w14:paraId="770103CD" w14:textId="77777777" w:rsidR="004F312A" w:rsidRPr="004F312A" w:rsidRDefault="004F312A" w:rsidP="004F312A">
            <w:pPr>
              <w:spacing w:after="0" w:line="240" w:lineRule="auto"/>
              <w:jc w:val="center"/>
              <w:rPr>
                <w:rFonts w:ascii="Calibri" w:eastAsia="Times New Roman" w:hAnsi="Calibri" w:cs="Calibri"/>
                <w:color w:val="FFFFFF"/>
                <w:lang w:eastAsia="en-GB"/>
              </w:rPr>
            </w:pPr>
            <w:r w:rsidRPr="004F312A">
              <w:rPr>
                <w:rFonts w:ascii="Calibri" w:eastAsia="Times New Roman" w:hAnsi="Calibri" w:cs="Calibri"/>
                <w:color w:val="FFFFFF"/>
                <w:lang w:eastAsia="en-GB"/>
              </w:rPr>
              <w:t>ASSESSMENT CARRIED OUT BY CLINICIAN</w:t>
            </w:r>
            <w:r w:rsidRPr="004F312A">
              <w:rPr>
                <w:rFonts w:ascii="Calibri" w:eastAsia="Times New Roman" w:hAnsi="Calibri" w:cs="Calibri"/>
                <w:color w:val="FFFFFF"/>
                <w:lang w:eastAsia="en-GB"/>
              </w:rPr>
              <w:br/>
              <w:t>Senior Clinician assessment if clinically indicated</w:t>
            </w:r>
            <w:r w:rsidRPr="004F312A">
              <w:rPr>
                <w:rFonts w:ascii="Calibri" w:eastAsia="Times New Roman" w:hAnsi="Calibri" w:cs="Calibri"/>
                <w:color w:val="FFFFFF"/>
                <w:lang w:eastAsia="en-GB"/>
              </w:rPr>
              <w:br/>
              <w:t>Consider POC CRP and/or Flu/COVID/RSV Swab if it will change management</w:t>
            </w:r>
          </w:p>
        </w:tc>
      </w:tr>
      <w:tr w:rsidR="004F312A" w:rsidRPr="004F312A" w14:paraId="6950A6B0" w14:textId="77777777" w:rsidTr="004F312A">
        <w:trPr>
          <w:trHeight w:val="345"/>
        </w:trPr>
        <w:tc>
          <w:tcPr>
            <w:tcW w:w="10590" w:type="dxa"/>
            <w:gridSpan w:val="5"/>
            <w:vMerge/>
            <w:tcBorders>
              <w:top w:val="nil"/>
              <w:left w:val="nil"/>
              <w:bottom w:val="single" w:sz="4" w:space="0" w:color="FFFFFF"/>
              <w:right w:val="single" w:sz="4" w:space="0" w:color="FFFFFF"/>
            </w:tcBorders>
            <w:vAlign w:val="center"/>
            <w:hideMark/>
          </w:tcPr>
          <w:p w14:paraId="63F62A9C" w14:textId="77777777" w:rsidR="004F312A" w:rsidRPr="004F312A" w:rsidRDefault="004F312A" w:rsidP="004F312A">
            <w:pPr>
              <w:spacing w:after="0" w:line="240" w:lineRule="auto"/>
              <w:rPr>
                <w:rFonts w:ascii="Calibri" w:eastAsia="Times New Roman" w:hAnsi="Calibri" w:cs="Calibri"/>
                <w:color w:val="FFFFFF"/>
                <w:lang w:eastAsia="en-GB"/>
              </w:rPr>
            </w:pPr>
          </w:p>
        </w:tc>
        <w:tc>
          <w:tcPr>
            <w:tcW w:w="237" w:type="dxa"/>
            <w:tcBorders>
              <w:top w:val="nil"/>
              <w:left w:val="nil"/>
              <w:bottom w:val="nil"/>
              <w:right w:val="nil"/>
            </w:tcBorders>
            <w:shd w:val="clear" w:color="auto" w:fill="auto"/>
            <w:noWrap/>
            <w:vAlign w:val="bottom"/>
            <w:hideMark/>
          </w:tcPr>
          <w:p w14:paraId="75CD8ABF" w14:textId="77777777" w:rsidR="004F312A" w:rsidRPr="004F312A" w:rsidRDefault="004F312A" w:rsidP="004F312A">
            <w:pPr>
              <w:spacing w:after="0" w:line="240" w:lineRule="auto"/>
              <w:jc w:val="center"/>
              <w:rPr>
                <w:rFonts w:ascii="Calibri" w:eastAsia="Times New Roman" w:hAnsi="Calibri" w:cs="Calibri"/>
                <w:color w:val="FFFFFF"/>
                <w:lang w:eastAsia="en-GB"/>
              </w:rPr>
            </w:pPr>
          </w:p>
        </w:tc>
      </w:tr>
      <w:tr w:rsidR="004F312A" w:rsidRPr="004F312A" w14:paraId="7F6F82C1" w14:textId="77777777" w:rsidTr="004F312A">
        <w:trPr>
          <w:trHeight w:val="345"/>
        </w:trPr>
        <w:tc>
          <w:tcPr>
            <w:tcW w:w="10590" w:type="dxa"/>
            <w:gridSpan w:val="5"/>
            <w:vMerge/>
            <w:tcBorders>
              <w:top w:val="nil"/>
              <w:left w:val="nil"/>
              <w:bottom w:val="single" w:sz="4" w:space="0" w:color="FFFFFF"/>
              <w:right w:val="single" w:sz="4" w:space="0" w:color="FFFFFF"/>
            </w:tcBorders>
            <w:vAlign w:val="center"/>
            <w:hideMark/>
          </w:tcPr>
          <w:p w14:paraId="56179DF4" w14:textId="77777777" w:rsidR="004F312A" w:rsidRPr="004F312A" w:rsidRDefault="004F312A" w:rsidP="004F312A">
            <w:pPr>
              <w:spacing w:after="0" w:line="240" w:lineRule="auto"/>
              <w:rPr>
                <w:rFonts w:ascii="Calibri" w:eastAsia="Times New Roman" w:hAnsi="Calibri" w:cs="Calibri"/>
                <w:color w:val="FFFFFF"/>
                <w:lang w:eastAsia="en-GB"/>
              </w:rPr>
            </w:pPr>
          </w:p>
        </w:tc>
        <w:tc>
          <w:tcPr>
            <w:tcW w:w="237" w:type="dxa"/>
            <w:tcBorders>
              <w:top w:val="nil"/>
              <w:left w:val="nil"/>
              <w:bottom w:val="nil"/>
              <w:right w:val="nil"/>
            </w:tcBorders>
            <w:shd w:val="clear" w:color="auto" w:fill="auto"/>
            <w:noWrap/>
            <w:vAlign w:val="bottom"/>
            <w:hideMark/>
          </w:tcPr>
          <w:p w14:paraId="631388AF" w14:textId="77777777" w:rsidR="004F312A" w:rsidRPr="004F312A" w:rsidRDefault="004F312A" w:rsidP="004F312A">
            <w:pPr>
              <w:spacing w:after="0" w:line="240" w:lineRule="auto"/>
              <w:rPr>
                <w:rFonts w:ascii="Times New Roman" w:eastAsia="Times New Roman" w:hAnsi="Times New Roman" w:cs="Times New Roman"/>
                <w:sz w:val="20"/>
                <w:szCs w:val="20"/>
                <w:lang w:eastAsia="en-GB"/>
              </w:rPr>
            </w:pPr>
          </w:p>
        </w:tc>
      </w:tr>
      <w:tr w:rsidR="004F312A" w:rsidRPr="004F312A" w14:paraId="5F5A289D" w14:textId="77777777" w:rsidTr="004F312A">
        <w:trPr>
          <w:trHeight w:val="345"/>
        </w:trPr>
        <w:tc>
          <w:tcPr>
            <w:tcW w:w="10590" w:type="dxa"/>
            <w:gridSpan w:val="5"/>
            <w:vMerge/>
            <w:tcBorders>
              <w:top w:val="nil"/>
              <w:left w:val="nil"/>
              <w:bottom w:val="single" w:sz="4" w:space="0" w:color="FFFFFF"/>
              <w:right w:val="single" w:sz="4" w:space="0" w:color="FFFFFF"/>
            </w:tcBorders>
            <w:vAlign w:val="center"/>
            <w:hideMark/>
          </w:tcPr>
          <w:p w14:paraId="73F81681" w14:textId="77777777" w:rsidR="004F312A" w:rsidRPr="004F312A" w:rsidRDefault="004F312A" w:rsidP="004F312A">
            <w:pPr>
              <w:spacing w:after="0" w:line="240" w:lineRule="auto"/>
              <w:rPr>
                <w:rFonts w:ascii="Calibri" w:eastAsia="Times New Roman" w:hAnsi="Calibri" w:cs="Calibri"/>
                <w:color w:val="FFFFFF"/>
                <w:lang w:eastAsia="en-GB"/>
              </w:rPr>
            </w:pPr>
          </w:p>
        </w:tc>
        <w:tc>
          <w:tcPr>
            <w:tcW w:w="237" w:type="dxa"/>
            <w:tcBorders>
              <w:top w:val="nil"/>
              <w:left w:val="nil"/>
              <w:bottom w:val="nil"/>
              <w:right w:val="nil"/>
            </w:tcBorders>
            <w:shd w:val="clear" w:color="auto" w:fill="auto"/>
            <w:noWrap/>
            <w:vAlign w:val="bottom"/>
            <w:hideMark/>
          </w:tcPr>
          <w:p w14:paraId="0F843E63" w14:textId="77777777" w:rsidR="004F312A" w:rsidRPr="004F312A" w:rsidRDefault="004F312A" w:rsidP="004F312A">
            <w:pPr>
              <w:spacing w:after="0" w:line="240" w:lineRule="auto"/>
              <w:rPr>
                <w:rFonts w:ascii="Times New Roman" w:eastAsia="Times New Roman" w:hAnsi="Times New Roman" w:cs="Times New Roman"/>
                <w:sz w:val="20"/>
                <w:szCs w:val="20"/>
                <w:lang w:eastAsia="en-GB"/>
              </w:rPr>
            </w:pPr>
          </w:p>
        </w:tc>
      </w:tr>
      <w:tr w:rsidR="004F312A" w:rsidRPr="004F312A" w14:paraId="4D2A46EA" w14:textId="77777777" w:rsidTr="004F312A">
        <w:trPr>
          <w:trHeight w:val="345"/>
        </w:trPr>
        <w:tc>
          <w:tcPr>
            <w:tcW w:w="2056" w:type="dxa"/>
            <w:vMerge w:val="restart"/>
            <w:tcBorders>
              <w:top w:val="nil"/>
              <w:left w:val="single" w:sz="8" w:space="0" w:color="auto"/>
              <w:bottom w:val="single" w:sz="4" w:space="0" w:color="FFFFFF"/>
              <w:right w:val="single" w:sz="4" w:space="0" w:color="FFFFFF"/>
            </w:tcBorders>
            <w:shd w:val="clear" w:color="000000" w:fill="FF0000"/>
            <w:hideMark/>
          </w:tcPr>
          <w:p w14:paraId="20D50845" w14:textId="77777777" w:rsidR="004F312A" w:rsidRPr="004F312A" w:rsidRDefault="004F312A" w:rsidP="004F312A">
            <w:pPr>
              <w:spacing w:after="0" w:line="240" w:lineRule="auto"/>
              <w:jc w:val="center"/>
              <w:rPr>
                <w:rFonts w:ascii="Calibri" w:eastAsia="Times New Roman" w:hAnsi="Calibri" w:cs="Calibri"/>
                <w:color w:val="000000"/>
                <w:lang w:eastAsia="en-GB"/>
              </w:rPr>
            </w:pPr>
            <w:r w:rsidRPr="004F312A">
              <w:rPr>
                <w:rFonts w:ascii="Calibri" w:eastAsia="Times New Roman" w:hAnsi="Calibri" w:cs="Calibri"/>
                <w:b/>
                <w:bCs/>
                <w:color w:val="000000"/>
                <w:lang w:val="en-US" w:eastAsia="en-GB"/>
              </w:rPr>
              <w:t>RED</w:t>
            </w:r>
            <w:r w:rsidRPr="004F312A">
              <w:rPr>
                <w:rFonts w:ascii="Calibri" w:eastAsia="Times New Roman" w:hAnsi="Calibri" w:cs="Calibri"/>
                <w:color w:val="000000"/>
                <w:lang w:val="en-US" w:eastAsia="en-GB"/>
              </w:rPr>
              <w:br/>
              <w:t>Send to Medics/ED</w:t>
            </w:r>
            <w:r w:rsidRPr="004F312A">
              <w:rPr>
                <w:rFonts w:ascii="Calibri" w:eastAsia="Times New Roman" w:hAnsi="Calibri" w:cs="Calibri"/>
                <w:color w:val="000000"/>
                <w:lang w:val="en-US" w:eastAsia="en-GB"/>
              </w:rPr>
              <w:br/>
              <w:t>Discuss with ED Team and move into main ED</w:t>
            </w:r>
          </w:p>
        </w:tc>
        <w:tc>
          <w:tcPr>
            <w:tcW w:w="2167" w:type="dxa"/>
            <w:vMerge w:val="restart"/>
            <w:tcBorders>
              <w:top w:val="single" w:sz="4" w:space="0" w:color="FFFFFF"/>
              <w:left w:val="single" w:sz="4" w:space="0" w:color="FFFFFF"/>
              <w:bottom w:val="single" w:sz="4" w:space="0" w:color="FFFFFF"/>
              <w:right w:val="nil"/>
            </w:tcBorders>
            <w:shd w:val="clear" w:color="000000" w:fill="FFC000"/>
            <w:hideMark/>
          </w:tcPr>
          <w:p w14:paraId="27AB14DC" w14:textId="77777777" w:rsidR="004F312A" w:rsidRPr="004F312A" w:rsidRDefault="004F312A" w:rsidP="004F312A">
            <w:pPr>
              <w:spacing w:after="0" w:line="240" w:lineRule="auto"/>
              <w:jc w:val="center"/>
              <w:rPr>
                <w:rFonts w:ascii="Calibri" w:eastAsia="Times New Roman" w:hAnsi="Calibri" w:cs="Calibri"/>
                <w:color w:val="000000"/>
                <w:lang w:eastAsia="en-GB"/>
              </w:rPr>
            </w:pPr>
            <w:r w:rsidRPr="004F312A">
              <w:rPr>
                <w:rFonts w:ascii="Calibri" w:eastAsia="Times New Roman" w:hAnsi="Calibri" w:cs="Calibri"/>
                <w:b/>
                <w:bCs/>
                <w:color w:val="000000"/>
                <w:lang w:eastAsia="en-GB"/>
              </w:rPr>
              <w:t>AMBER</w:t>
            </w:r>
            <w:r w:rsidRPr="004F312A">
              <w:rPr>
                <w:rFonts w:ascii="Calibri" w:eastAsia="Times New Roman" w:hAnsi="Calibri" w:cs="Calibri"/>
                <w:color w:val="000000"/>
                <w:lang w:eastAsia="en-GB"/>
              </w:rPr>
              <w:br/>
              <w:t>Needs further (SDEC)</w:t>
            </w:r>
            <w:r w:rsidRPr="004F312A">
              <w:rPr>
                <w:rFonts w:ascii="Calibri" w:eastAsia="Times New Roman" w:hAnsi="Calibri" w:cs="Calibri"/>
                <w:color w:val="000000"/>
                <w:lang w:eastAsia="en-GB"/>
              </w:rPr>
              <w:br/>
              <w:t>UHS investigation</w:t>
            </w:r>
            <w:r w:rsidRPr="004F312A">
              <w:rPr>
                <w:rFonts w:ascii="Calibri" w:eastAsia="Times New Roman" w:hAnsi="Calibri" w:cs="Calibri"/>
                <w:color w:val="000000"/>
                <w:lang w:eastAsia="en-GB"/>
              </w:rPr>
              <w:br/>
              <w:t>Consider SPCL ARI</w:t>
            </w:r>
            <w:r w:rsidRPr="004F312A">
              <w:rPr>
                <w:rFonts w:ascii="Calibri" w:eastAsia="Times New Roman" w:hAnsi="Calibri" w:cs="Calibri"/>
                <w:color w:val="000000"/>
                <w:lang w:eastAsia="en-GB"/>
              </w:rPr>
              <w:br/>
              <w:t>Virtual Ward</w:t>
            </w:r>
          </w:p>
        </w:tc>
        <w:tc>
          <w:tcPr>
            <w:tcW w:w="2181" w:type="dxa"/>
            <w:vMerge w:val="restart"/>
            <w:tcBorders>
              <w:top w:val="single" w:sz="4" w:space="0" w:color="FFFFFF"/>
              <w:left w:val="single" w:sz="4" w:space="0" w:color="FFFFFF"/>
              <w:bottom w:val="nil"/>
              <w:right w:val="single" w:sz="4" w:space="0" w:color="FFFFFF"/>
            </w:tcBorders>
            <w:shd w:val="clear" w:color="000000" w:fill="00B050"/>
            <w:hideMark/>
          </w:tcPr>
          <w:p w14:paraId="694C14EF" w14:textId="77777777" w:rsidR="004F312A" w:rsidRPr="004F312A" w:rsidRDefault="004F312A" w:rsidP="004F312A">
            <w:pPr>
              <w:spacing w:after="0" w:line="240" w:lineRule="auto"/>
              <w:jc w:val="center"/>
              <w:rPr>
                <w:rFonts w:ascii="Calibri" w:eastAsia="Times New Roman" w:hAnsi="Calibri" w:cs="Calibri"/>
                <w:color w:val="000000"/>
                <w:lang w:eastAsia="en-GB"/>
              </w:rPr>
            </w:pPr>
            <w:r w:rsidRPr="004F312A">
              <w:rPr>
                <w:rFonts w:ascii="Calibri" w:eastAsia="Times New Roman" w:hAnsi="Calibri" w:cs="Calibri"/>
                <w:b/>
                <w:bCs/>
                <w:color w:val="000000"/>
                <w:lang w:eastAsia="en-GB"/>
              </w:rPr>
              <w:t>HIGH RISK GREEN</w:t>
            </w:r>
            <w:r w:rsidRPr="004F312A">
              <w:rPr>
                <w:rFonts w:ascii="Calibri" w:eastAsia="Times New Roman" w:hAnsi="Calibri" w:cs="Calibri"/>
                <w:color w:val="000000"/>
                <w:lang w:eastAsia="en-GB"/>
              </w:rPr>
              <w:br/>
              <w:t>Needs admitting to ARI@Home service.</w:t>
            </w:r>
            <w:r w:rsidRPr="004F312A">
              <w:rPr>
                <w:rFonts w:ascii="Calibri" w:eastAsia="Times New Roman" w:hAnsi="Calibri" w:cs="Calibri"/>
                <w:color w:val="000000"/>
                <w:lang w:eastAsia="en-GB"/>
              </w:rPr>
              <w:br/>
              <w:t>Discuss with ARI@Home</w:t>
            </w:r>
          </w:p>
        </w:tc>
        <w:tc>
          <w:tcPr>
            <w:tcW w:w="2161" w:type="dxa"/>
            <w:vMerge w:val="restart"/>
            <w:tcBorders>
              <w:top w:val="nil"/>
              <w:left w:val="nil"/>
              <w:bottom w:val="nil"/>
              <w:right w:val="nil"/>
            </w:tcBorders>
            <w:shd w:val="clear" w:color="000000" w:fill="92D050"/>
            <w:hideMark/>
          </w:tcPr>
          <w:p w14:paraId="26CC0CF0" w14:textId="77777777" w:rsidR="004F312A" w:rsidRPr="004F312A" w:rsidRDefault="004F312A" w:rsidP="004F312A">
            <w:pPr>
              <w:spacing w:after="0" w:line="240" w:lineRule="auto"/>
              <w:jc w:val="center"/>
              <w:rPr>
                <w:rFonts w:ascii="Calibri" w:eastAsia="Times New Roman" w:hAnsi="Calibri" w:cs="Calibri"/>
                <w:color w:val="000000"/>
                <w:lang w:eastAsia="en-GB"/>
              </w:rPr>
            </w:pPr>
            <w:r w:rsidRPr="004F312A">
              <w:rPr>
                <w:rFonts w:ascii="Calibri" w:eastAsia="Times New Roman" w:hAnsi="Calibri" w:cs="Calibri"/>
                <w:b/>
                <w:bCs/>
                <w:color w:val="000000"/>
                <w:lang w:eastAsia="en-GB"/>
              </w:rPr>
              <w:t>LOW RISK GREEN</w:t>
            </w:r>
            <w:r w:rsidRPr="004F312A">
              <w:rPr>
                <w:rFonts w:ascii="Calibri" w:eastAsia="Times New Roman" w:hAnsi="Calibri" w:cs="Calibri"/>
                <w:color w:val="000000"/>
                <w:lang w:eastAsia="en-GB"/>
              </w:rPr>
              <w:br/>
              <w:t xml:space="preserve">Can be safely sent home </w:t>
            </w:r>
            <w:r w:rsidRPr="004F312A">
              <w:rPr>
                <w:rFonts w:ascii="Calibri" w:eastAsia="Times New Roman" w:hAnsi="Calibri" w:cs="Calibri"/>
                <w:color w:val="000000"/>
                <w:lang w:eastAsia="en-GB"/>
              </w:rPr>
              <w:br/>
              <w:t>with advice and safety</w:t>
            </w:r>
            <w:r w:rsidRPr="004F312A">
              <w:rPr>
                <w:rFonts w:ascii="Calibri" w:eastAsia="Times New Roman" w:hAnsi="Calibri" w:cs="Calibri"/>
                <w:color w:val="000000"/>
                <w:lang w:eastAsia="en-GB"/>
              </w:rPr>
              <w:br/>
              <w:t>netting.</w:t>
            </w:r>
          </w:p>
        </w:tc>
        <w:tc>
          <w:tcPr>
            <w:tcW w:w="2025" w:type="dxa"/>
            <w:vMerge w:val="restart"/>
            <w:tcBorders>
              <w:top w:val="single" w:sz="4" w:space="0" w:color="FFFFFF"/>
              <w:left w:val="single" w:sz="4" w:space="0" w:color="FFFFFF"/>
              <w:bottom w:val="nil"/>
              <w:right w:val="nil"/>
            </w:tcBorders>
            <w:shd w:val="clear" w:color="000000" w:fill="833C0C"/>
            <w:hideMark/>
          </w:tcPr>
          <w:p w14:paraId="7D190D2E" w14:textId="77777777" w:rsidR="004F312A" w:rsidRPr="004F312A" w:rsidRDefault="004F312A" w:rsidP="004F312A">
            <w:pPr>
              <w:spacing w:after="0" w:line="240" w:lineRule="auto"/>
              <w:jc w:val="center"/>
              <w:rPr>
                <w:rFonts w:ascii="Calibri" w:eastAsia="Times New Roman" w:hAnsi="Calibri" w:cs="Calibri"/>
                <w:color w:val="000000"/>
                <w:lang w:eastAsia="en-GB"/>
              </w:rPr>
            </w:pPr>
            <w:r w:rsidRPr="004F312A">
              <w:rPr>
                <w:rFonts w:ascii="Calibri" w:eastAsia="Times New Roman" w:hAnsi="Calibri" w:cs="Calibri"/>
                <w:b/>
                <w:bCs/>
                <w:color w:val="FFFFFF"/>
                <w:lang w:eastAsia="en-GB"/>
              </w:rPr>
              <w:t>PALLIATION</w:t>
            </w:r>
            <w:r w:rsidRPr="004F312A">
              <w:rPr>
                <w:rFonts w:ascii="Calibri" w:eastAsia="Times New Roman" w:hAnsi="Calibri" w:cs="Calibri"/>
                <w:color w:val="FFFFFF"/>
                <w:lang w:eastAsia="en-GB"/>
              </w:rPr>
              <w:br/>
              <w:t>Discuss early with Palliative Care Team.</w:t>
            </w:r>
            <w:r w:rsidRPr="004F312A">
              <w:rPr>
                <w:rFonts w:ascii="Calibri" w:eastAsia="Times New Roman" w:hAnsi="Calibri" w:cs="Calibri"/>
                <w:color w:val="FFFFFF"/>
                <w:lang w:eastAsia="en-GB"/>
              </w:rPr>
              <w:br/>
              <w:t>Consider JIC Meds</w:t>
            </w:r>
            <w:r w:rsidRPr="004F312A">
              <w:rPr>
                <w:rFonts w:ascii="Calibri" w:eastAsia="Times New Roman" w:hAnsi="Calibri" w:cs="Calibri"/>
                <w:color w:val="000000"/>
                <w:lang w:eastAsia="en-GB"/>
              </w:rPr>
              <w:t>.</w:t>
            </w:r>
          </w:p>
        </w:tc>
        <w:tc>
          <w:tcPr>
            <w:tcW w:w="237" w:type="dxa"/>
            <w:vAlign w:val="center"/>
            <w:hideMark/>
          </w:tcPr>
          <w:p w14:paraId="451B8E2E" w14:textId="77777777" w:rsidR="004F312A" w:rsidRPr="004F312A" w:rsidRDefault="004F312A" w:rsidP="004F312A">
            <w:pPr>
              <w:spacing w:after="0" w:line="240" w:lineRule="auto"/>
              <w:rPr>
                <w:rFonts w:ascii="Times New Roman" w:eastAsia="Times New Roman" w:hAnsi="Times New Roman" w:cs="Times New Roman"/>
                <w:sz w:val="20"/>
                <w:szCs w:val="20"/>
                <w:lang w:eastAsia="en-GB"/>
              </w:rPr>
            </w:pPr>
          </w:p>
        </w:tc>
      </w:tr>
      <w:tr w:rsidR="004F312A" w:rsidRPr="004F312A" w14:paraId="3CDBC6F9" w14:textId="77777777" w:rsidTr="004F312A">
        <w:trPr>
          <w:trHeight w:val="345"/>
        </w:trPr>
        <w:tc>
          <w:tcPr>
            <w:tcW w:w="2056" w:type="dxa"/>
            <w:vMerge/>
            <w:tcBorders>
              <w:top w:val="nil"/>
              <w:left w:val="single" w:sz="8" w:space="0" w:color="auto"/>
              <w:bottom w:val="single" w:sz="4" w:space="0" w:color="FFFFFF"/>
              <w:right w:val="single" w:sz="4" w:space="0" w:color="FFFFFF"/>
            </w:tcBorders>
            <w:vAlign w:val="center"/>
            <w:hideMark/>
          </w:tcPr>
          <w:p w14:paraId="69EF4E6E"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7" w:type="dxa"/>
            <w:vMerge/>
            <w:tcBorders>
              <w:top w:val="single" w:sz="4" w:space="0" w:color="FFFFFF"/>
              <w:left w:val="single" w:sz="4" w:space="0" w:color="FFFFFF"/>
              <w:bottom w:val="single" w:sz="4" w:space="0" w:color="FFFFFF"/>
              <w:right w:val="nil"/>
            </w:tcBorders>
            <w:vAlign w:val="center"/>
            <w:hideMark/>
          </w:tcPr>
          <w:p w14:paraId="1CA0C07C"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81" w:type="dxa"/>
            <w:vMerge/>
            <w:tcBorders>
              <w:top w:val="single" w:sz="4" w:space="0" w:color="FFFFFF"/>
              <w:left w:val="single" w:sz="4" w:space="0" w:color="FFFFFF"/>
              <w:bottom w:val="nil"/>
              <w:right w:val="single" w:sz="4" w:space="0" w:color="FFFFFF"/>
            </w:tcBorders>
            <w:vAlign w:val="center"/>
            <w:hideMark/>
          </w:tcPr>
          <w:p w14:paraId="5E050573"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1" w:type="dxa"/>
            <w:vMerge/>
            <w:tcBorders>
              <w:top w:val="nil"/>
              <w:left w:val="nil"/>
              <w:bottom w:val="nil"/>
              <w:right w:val="nil"/>
            </w:tcBorders>
            <w:vAlign w:val="center"/>
            <w:hideMark/>
          </w:tcPr>
          <w:p w14:paraId="01AEF3A8"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025" w:type="dxa"/>
            <w:vMerge/>
            <w:tcBorders>
              <w:top w:val="single" w:sz="4" w:space="0" w:color="FFFFFF"/>
              <w:left w:val="single" w:sz="4" w:space="0" w:color="FFFFFF"/>
              <w:bottom w:val="nil"/>
              <w:right w:val="nil"/>
            </w:tcBorders>
            <w:vAlign w:val="center"/>
            <w:hideMark/>
          </w:tcPr>
          <w:p w14:paraId="2FC63692"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37" w:type="dxa"/>
            <w:tcBorders>
              <w:top w:val="nil"/>
              <w:left w:val="nil"/>
              <w:bottom w:val="nil"/>
              <w:right w:val="nil"/>
            </w:tcBorders>
            <w:shd w:val="clear" w:color="auto" w:fill="auto"/>
            <w:noWrap/>
            <w:vAlign w:val="bottom"/>
            <w:hideMark/>
          </w:tcPr>
          <w:p w14:paraId="62283DE8" w14:textId="77777777" w:rsidR="004F312A" w:rsidRPr="004F312A" w:rsidRDefault="004F312A" w:rsidP="004F312A">
            <w:pPr>
              <w:spacing w:after="0" w:line="240" w:lineRule="auto"/>
              <w:jc w:val="center"/>
              <w:rPr>
                <w:rFonts w:ascii="Calibri" w:eastAsia="Times New Roman" w:hAnsi="Calibri" w:cs="Calibri"/>
                <w:color w:val="000000"/>
                <w:lang w:eastAsia="en-GB"/>
              </w:rPr>
            </w:pPr>
          </w:p>
        </w:tc>
      </w:tr>
      <w:tr w:rsidR="004F312A" w:rsidRPr="004F312A" w14:paraId="1ACABA1B" w14:textId="77777777" w:rsidTr="004F312A">
        <w:trPr>
          <w:trHeight w:val="345"/>
        </w:trPr>
        <w:tc>
          <w:tcPr>
            <w:tcW w:w="2056" w:type="dxa"/>
            <w:vMerge/>
            <w:tcBorders>
              <w:top w:val="nil"/>
              <w:left w:val="single" w:sz="8" w:space="0" w:color="auto"/>
              <w:bottom w:val="single" w:sz="4" w:space="0" w:color="FFFFFF"/>
              <w:right w:val="single" w:sz="4" w:space="0" w:color="FFFFFF"/>
            </w:tcBorders>
            <w:vAlign w:val="center"/>
            <w:hideMark/>
          </w:tcPr>
          <w:p w14:paraId="566D0231"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7" w:type="dxa"/>
            <w:vMerge/>
            <w:tcBorders>
              <w:top w:val="single" w:sz="4" w:space="0" w:color="FFFFFF"/>
              <w:left w:val="single" w:sz="4" w:space="0" w:color="FFFFFF"/>
              <w:bottom w:val="single" w:sz="4" w:space="0" w:color="FFFFFF"/>
              <w:right w:val="nil"/>
            </w:tcBorders>
            <w:vAlign w:val="center"/>
            <w:hideMark/>
          </w:tcPr>
          <w:p w14:paraId="2EF9F36F"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81" w:type="dxa"/>
            <w:vMerge/>
            <w:tcBorders>
              <w:top w:val="single" w:sz="4" w:space="0" w:color="FFFFFF"/>
              <w:left w:val="single" w:sz="4" w:space="0" w:color="FFFFFF"/>
              <w:bottom w:val="nil"/>
              <w:right w:val="single" w:sz="4" w:space="0" w:color="FFFFFF"/>
            </w:tcBorders>
            <w:vAlign w:val="center"/>
            <w:hideMark/>
          </w:tcPr>
          <w:p w14:paraId="45FCB6CD"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1" w:type="dxa"/>
            <w:vMerge/>
            <w:tcBorders>
              <w:top w:val="nil"/>
              <w:left w:val="nil"/>
              <w:bottom w:val="nil"/>
              <w:right w:val="nil"/>
            </w:tcBorders>
            <w:vAlign w:val="center"/>
            <w:hideMark/>
          </w:tcPr>
          <w:p w14:paraId="0AFDA946"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025" w:type="dxa"/>
            <w:vMerge/>
            <w:tcBorders>
              <w:top w:val="single" w:sz="4" w:space="0" w:color="FFFFFF"/>
              <w:left w:val="single" w:sz="4" w:space="0" w:color="FFFFFF"/>
              <w:bottom w:val="nil"/>
              <w:right w:val="nil"/>
            </w:tcBorders>
            <w:vAlign w:val="center"/>
            <w:hideMark/>
          </w:tcPr>
          <w:p w14:paraId="40538AE4"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37" w:type="dxa"/>
            <w:tcBorders>
              <w:top w:val="nil"/>
              <w:left w:val="nil"/>
              <w:bottom w:val="nil"/>
              <w:right w:val="nil"/>
            </w:tcBorders>
            <w:shd w:val="clear" w:color="auto" w:fill="auto"/>
            <w:noWrap/>
            <w:vAlign w:val="bottom"/>
            <w:hideMark/>
          </w:tcPr>
          <w:p w14:paraId="600429F6" w14:textId="77777777" w:rsidR="004F312A" w:rsidRPr="004F312A" w:rsidRDefault="004F312A" w:rsidP="004F312A">
            <w:pPr>
              <w:spacing w:after="0" w:line="240" w:lineRule="auto"/>
              <w:rPr>
                <w:rFonts w:ascii="Times New Roman" w:eastAsia="Times New Roman" w:hAnsi="Times New Roman" w:cs="Times New Roman"/>
                <w:sz w:val="20"/>
                <w:szCs w:val="20"/>
                <w:lang w:eastAsia="en-GB"/>
              </w:rPr>
            </w:pPr>
          </w:p>
        </w:tc>
      </w:tr>
      <w:tr w:rsidR="004F312A" w:rsidRPr="004F312A" w14:paraId="27B4BD05" w14:textId="77777777" w:rsidTr="004F312A">
        <w:trPr>
          <w:trHeight w:val="345"/>
        </w:trPr>
        <w:tc>
          <w:tcPr>
            <w:tcW w:w="2056" w:type="dxa"/>
            <w:vMerge/>
            <w:tcBorders>
              <w:top w:val="nil"/>
              <w:left w:val="single" w:sz="8" w:space="0" w:color="auto"/>
              <w:bottom w:val="single" w:sz="4" w:space="0" w:color="FFFFFF"/>
              <w:right w:val="single" w:sz="4" w:space="0" w:color="FFFFFF"/>
            </w:tcBorders>
            <w:vAlign w:val="center"/>
            <w:hideMark/>
          </w:tcPr>
          <w:p w14:paraId="6E525B52"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7" w:type="dxa"/>
            <w:vMerge/>
            <w:tcBorders>
              <w:top w:val="single" w:sz="4" w:space="0" w:color="FFFFFF"/>
              <w:left w:val="single" w:sz="4" w:space="0" w:color="FFFFFF"/>
              <w:bottom w:val="single" w:sz="4" w:space="0" w:color="FFFFFF"/>
              <w:right w:val="nil"/>
            </w:tcBorders>
            <w:vAlign w:val="center"/>
            <w:hideMark/>
          </w:tcPr>
          <w:p w14:paraId="68865DDC"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81" w:type="dxa"/>
            <w:vMerge/>
            <w:tcBorders>
              <w:top w:val="single" w:sz="4" w:space="0" w:color="FFFFFF"/>
              <w:left w:val="single" w:sz="4" w:space="0" w:color="FFFFFF"/>
              <w:bottom w:val="nil"/>
              <w:right w:val="single" w:sz="4" w:space="0" w:color="FFFFFF"/>
            </w:tcBorders>
            <w:vAlign w:val="center"/>
            <w:hideMark/>
          </w:tcPr>
          <w:p w14:paraId="05CBB18B"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1" w:type="dxa"/>
            <w:vMerge/>
            <w:tcBorders>
              <w:top w:val="nil"/>
              <w:left w:val="nil"/>
              <w:bottom w:val="nil"/>
              <w:right w:val="nil"/>
            </w:tcBorders>
            <w:vAlign w:val="center"/>
            <w:hideMark/>
          </w:tcPr>
          <w:p w14:paraId="7266D532"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025" w:type="dxa"/>
            <w:vMerge/>
            <w:tcBorders>
              <w:top w:val="single" w:sz="4" w:space="0" w:color="FFFFFF"/>
              <w:left w:val="single" w:sz="4" w:space="0" w:color="FFFFFF"/>
              <w:bottom w:val="nil"/>
              <w:right w:val="nil"/>
            </w:tcBorders>
            <w:vAlign w:val="center"/>
            <w:hideMark/>
          </w:tcPr>
          <w:p w14:paraId="6E0DC5BD"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37" w:type="dxa"/>
            <w:tcBorders>
              <w:top w:val="nil"/>
              <w:left w:val="nil"/>
              <w:bottom w:val="nil"/>
              <w:right w:val="nil"/>
            </w:tcBorders>
            <w:shd w:val="clear" w:color="auto" w:fill="auto"/>
            <w:noWrap/>
            <w:vAlign w:val="bottom"/>
            <w:hideMark/>
          </w:tcPr>
          <w:p w14:paraId="2167D720" w14:textId="77777777" w:rsidR="004F312A" w:rsidRPr="004F312A" w:rsidRDefault="004F312A" w:rsidP="004F312A">
            <w:pPr>
              <w:spacing w:after="0" w:line="240" w:lineRule="auto"/>
              <w:rPr>
                <w:rFonts w:ascii="Times New Roman" w:eastAsia="Times New Roman" w:hAnsi="Times New Roman" w:cs="Times New Roman"/>
                <w:sz w:val="20"/>
                <w:szCs w:val="20"/>
                <w:lang w:eastAsia="en-GB"/>
              </w:rPr>
            </w:pPr>
          </w:p>
        </w:tc>
      </w:tr>
      <w:tr w:rsidR="004F312A" w:rsidRPr="004F312A" w14:paraId="1F1E0799" w14:textId="77777777" w:rsidTr="004F312A">
        <w:trPr>
          <w:trHeight w:val="345"/>
        </w:trPr>
        <w:tc>
          <w:tcPr>
            <w:tcW w:w="2056" w:type="dxa"/>
            <w:vMerge/>
            <w:tcBorders>
              <w:top w:val="nil"/>
              <w:left w:val="single" w:sz="8" w:space="0" w:color="auto"/>
              <w:bottom w:val="single" w:sz="4" w:space="0" w:color="FFFFFF"/>
              <w:right w:val="single" w:sz="4" w:space="0" w:color="FFFFFF"/>
            </w:tcBorders>
            <w:vAlign w:val="center"/>
            <w:hideMark/>
          </w:tcPr>
          <w:p w14:paraId="5BC42CDA"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7" w:type="dxa"/>
            <w:vMerge/>
            <w:tcBorders>
              <w:top w:val="single" w:sz="4" w:space="0" w:color="FFFFFF"/>
              <w:left w:val="single" w:sz="4" w:space="0" w:color="FFFFFF"/>
              <w:bottom w:val="single" w:sz="4" w:space="0" w:color="FFFFFF"/>
              <w:right w:val="nil"/>
            </w:tcBorders>
            <w:vAlign w:val="center"/>
            <w:hideMark/>
          </w:tcPr>
          <w:p w14:paraId="0FF97E57"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81" w:type="dxa"/>
            <w:vMerge/>
            <w:tcBorders>
              <w:top w:val="single" w:sz="4" w:space="0" w:color="FFFFFF"/>
              <w:left w:val="single" w:sz="4" w:space="0" w:color="FFFFFF"/>
              <w:bottom w:val="nil"/>
              <w:right w:val="single" w:sz="4" w:space="0" w:color="FFFFFF"/>
            </w:tcBorders>
            <w:vAlign w:val="center"/>
            <w:hideMark/>
          </w:tcPr>
          <w:p w14:paraId="71708C98"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1" w:type="dxa"/>
            <w:vMerge/>
            <w:tcBorders>
              <w:top w:val="nil"/>
              <w:left w:val="nil"/>
              <w:bottom w:val="nil"/>
              <w:right w:val="nil"/>
            </w:tcBorders>
            <w:vAlign w:val="center"/>
            <w:hideMark/>
          </w:tcPr>
          <w:p w14:paraId="05CE9DE1"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025" w:type="dxa"/>
            <w:vMerge/>
            <w:tcBorders>
              <w:top w:val="single" w:sz="4" w:space="0" w:color="FFFFFF"/>
              <w:left w:val="single" w:sz="4" w:space="0" w:color="FFFFFF"/>
              <w:bottom w:val="nil"/>
              <w:right w:val="nil"/>
            </w:tcBorders>
            <w:vAlign w:val="center"/>
            <w:hideMark/>
          </w:tcPr>
          <w:p w14:paraId="628B818D"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37" w:type="dxa"/>
            <w:tcBorders>
              <w:top w:val="nil"/>
              <w:left w:val="nil"/>
              <w:bottom w:val="nil"/>
              <w:right w:val="nil"/>
            </w:tcBorders>
            <w:shd w:val="clear" w:color="auto" w:fill="auto"/>
            <w:noWrap/>
            <w:vAlign w:val="bottom"/>
            <w:hideMark/>
          </w:tcPr>
          <w:p w14:paraId="1CF5DCA3" w14:textId="77777777" w:rsidR="004F312A" w:rsidRPr="004F312A" w:rsidRDefault="004F312A" w:rsidP="004F312A">
            <w:pPr>
              <w:spacing w:after="0" w:line="240" w:lineRule="auto"/>
              <w:rPr>
                <w:rFonts w:ascii="Times New Roman" w:eastAsia="Times New Roman" w:hAnsi="Times New Roman" w:cs="Times New Roman"/>
                <w:sz w:val="20"/>
                <w:szCs w:val="20"/>
                <w:lang w:eastAsia="en-GB"/>
              </w:rPr>
            </w:pPr>
          </w:p>
        </w:tc>
      </w:tr>
      <w:tr w:rsidR="004F312A" w:rsidRPr="004F312A" w14:paraId="6EA7E827" w14:textId="77777777" w:rsidTr="003435F3">
        <w:trPr>
          <w:trHeight w:val="345"/>
        </w:trPr>
        <w:tc>
          <w:tcPr>
            <w:tcW w:w="2056" w:type="dxa"/>
            <w:vMerge/>
            <w:tcBorders>
              <w:top w:val="nil"/>
              <w:left w:val="single" w:sz="8" w:space="0" w:color="auto"/>
              <w:bottom w:val="nil"/>
              <w:right w:val="single" w:sz="4" w:space="0" w:color="FFFFFF"/>
            </w:tcBorders>
            <w:vAlign w:val="center"/>
            <w:hideMark/>
          </w:tcPr>
          <w:p w14:paraId="5E163CC4"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7" w:type="dxa"/>
            <w:vMerge/>
            <w:tcBorders>
              <w:top w:val="single" w:sz="4" w:space="0" w:color="FFFFFF"/>
              <w:left w:val="single" w:sz="4" w:space="0" w:color="FFFFFF"/>
              <w:bottom w:val="single" w:sz="4" w:space="0" w:color="FFFFFF"/>
              <w:right w:val="nil"/>
            </w:tcBorders>
            <w:vAlign w:val="center"/>
            <w:hideMark/>
          </w:tcPr>
          <w:p w14:paraId="16261049"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81" w:type="dxa"/>
            <w:vMerge/>
            <w:tcBorders>
              <w:top w:val="single" w:sz="4" w:space="0" w:color="FFFFFF"/>
              <w:left w:val="single" w:sz="4" w:space="0" w:color="FFFFFF"/>
              <w:bottom w:val="single" w:sz="4" w:space="0" w:color="FFFFFF"/>
              <w:right w:val="single" w:sz="4" w:space="0" w:color="FFFFFF"/>
            </w:tcBorders>
            <w:vAlign w:val="center"/>
            <w:hideMark/>
          </w:tcPr>
          <w:p w14:paraId="4D4B7545"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161" w:type="dxa"/>
            <w:vMerge/>
            <w:tcBorders>
              <w:top w:val="nil"/>
              <w:left w:val="nil"/>
              <w:bottom w:val="nil"/>
              <w:right w:val="nil"/>
            </w:tcBorders>
            <w:vAlign w:val="center"/>
            <w:hideMark/>
          </w:tcPr>
          <w:p w14:paraId="62DEAD1C"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025" w:type="dxa"/>
            <w:vMerge/>
            <w:tcBorders>
              <w:top w:val="single" w:sz="4" w:space="0" w:color="FFFFFF"/>
              <w:left w:val="single" w:sz="4" w:space="0" w:color="FFFFFF"/>
              <w:bottom w:val="single" w:sz="4" w:space="0" w:color="FFFFFF"/>
              <w:right w:val="nil"/>
            </w:tcBorders>
            <w:vAlign w:val="center"/>
            <w:hideMark/>
          </w:tcPr>
          <w:p w14:paraId="13A3EB3C" w14:textId="77777777" w:rsidR="004F312A" w:rsidRPr="004F312A" w:rsidRDefault="004F312A" w:rsidP="004F312A">
            <w:pPr>
              <w:spacing w:after="0" w:line="240" w:lineRule="auto"/>
              <w:rPr>
                <w:rFonts w:ascii="Calibri" w:eastAsia="Times New Roman" w:hAnsi="Calibri" w:cs="Calibri"/>
                <w:color w:val="000000"/>
                <w:lang w:eastAsia="en-GB"/>
              </w:rPr>
            </w:pPr>
          </w:p>
        </w:tc>
        <w:tc>
          <w:tcPr>
            <w:tcW w:w="237" w:type="dxa"/>
            <w:tcBorders>
              <w:top w:val="nil"/>
              <w:left w:val="nil"/>
              <w:bottom w:val="nil"/>
              <w:right w:val="nil"/>
            </w:tcBorders>
            <w:shd w:val="clear" w:color="auto" w:fill="auto"/>
            <w:noWrap/>
            <w:vAlign w:val="bottom"/>
            <w:hideMark/>
          </w:tcPr>
          <w:p w14:paraId="12840B08" w14:textId="77777777" w:rsidR="004F312A" w:rsidRPr="004F312A" w:rsidRDefault="004F312A" w:rsidP="004F312A">
            <w:pPr>
              <w:spacing w:after="0" w:line="240" w:lineRule="auto"/>
              <w:rPr>
                <w:rFonts w:ascii="Times New Roman" w:eastAsia="Times New Roman" w:hAnsi="Times New Roman" w:cs="Times New Roman"/>
                <w:sz w:val="20"/>
                <w:szCs w:val="20"/>
                <w:lang w:eastAsia="en-GB"/>
              </w:rPr>
            </w:pPr>
          </w:p>
        </w:tc>
      </w:tr>
      <w:tr w:rsidR="003435F3" w:rsidRPr="004F312A" w14:paraId="342E938F" w14:textId="77777777" w:rsidTr="003435F3">
        <w:trPr>
          <w:trHeight w:val="147"/>
        </w:trPr>
        <w:tc>
          <w:tcPr>
            <w:tcW w:w="2056" w:type="dxa"/>
            <w:tcBorders>
              <w:top w:val="nil"/>
              <w:left w:val="single" w:sz="8" w:space="0" w:color="auto"/>
              <w:bottom w:val="single" w:sz="4" w:space="0" w:color="FFFFFF"/>
              <w:right w:val="single" w:sz="4" w:space="0" w:color="FFFFFF"/>
            </w:tcBorders>
            <w:vAlign w:val="center"/>
          </w:tcPr>
          <w:p w14:paraId="5F09D2FE" w14:textId="17EF325F" w:rsidR="003435F3" w:rsidRPr="004F312A" w:rsidRDefault="003435F3" w:rsidP="004F312A">
            <w:pPr>
              <w:spacing w:after="0" w:line="240" w:lineRule="auto"/>
              <w:rPr>
                <w:rFonts w:ascii="Calibri" w:eastAsia="Times New Roman" w:hAnsi="Calibri" w:cs="Calibri"/>
                <w:color w:val="000000"/>
                <w:lang w:eastAsia="en-GB"/>
              </w:rPr>
            </w:pPr>
          </w:p>
        </w:tc>
        <w:tc>
          <w:tcPr>
            <w:tcW w:w="2167" w:type="dxa"/>
            <w:tcBorders>
              <w:top w:val="single" w:sz="4" w:space="0" w:color="FFFFFF"/>
              <w:left w:val="single" w:sz="4" w:space="0" w:color="FFFFFF"/>
              <w:bottom w:val="single" w:sz="4" w:space="0" w:color="FFFFFF"/>
              <w:right w:val="nil"/>
            </w:tcBorders>
            <w:vAlign w:val="center"/>
          </w:tcPr>
          <w:p w14:paraId="16F046C6" w14:textId="77777777" w:rsidR="003435F3" w:rsidRPr="004F312A" w:rsidRDefault="003435F3" w:rsidP="004F312A">
            <w:pPr>
              <w:spacing w:after="0" w:line="240" w:lineRule="auto"/>
              <w:rPr>
                <w:rFonts w:ascii="Calibri" w:eastAsia="Times New Roman" w:hAnsi="Calibri" w:cs="Calibri"/>
                <w:color w:val="000000"/>
                <w:lang w:eastAsia="en-GB"/>
              </w:rPr>
            </w:pPr>
          </w:p>
        </w:tc>
        <w:tc>
          <w:tcPr>
            <w:tcW w:w="2181" w:type="dxa"/>
            <w:tcBorders>
              <w:top w:val="single" w:sz="4" w:space="0" w:color="FFFFFF"/>
              <w:left w:val="single" w:sz="4" w:space="0" w:color="FFFFFF"/>
              <w:bottom w:val="nil"/>
              <w:right w:val="single" w:sz="4" w:space="0" w:color="FFFFFF"/>
            </w:tcBorders>
            <w:vAlign w:val="center"/>
          </w:tcPr>
          <w:p w14:paraId="1AD7CE02" w14:textId="77777777" w:rsidR="003435F3" w:rsidRPr="004F312A" w:rsidRDefault="003435F3" w:rsidP="004F312A">
            <w:pPr>
              <w:spacing w:after="0" w:line="240" w:lineRule="auto"/>
              <w:rPr>
                <w:rFonts w:ascii="Calibri" w:eastAsia="Times New Roman" w:hAnsi="Calibri" w:cs="Calibri"/>
                <w:color w:val="000000"/>
                <w:lang w:eastAsia="en-GB"/>
              </w:rPr>
            </w:pPr>
          </w:p>
        </w:tc>
        <w:tc>
          <w:tcPr>
            <w:tcW w:w="2161" w:type="dxa"/>
            <w:tcBorders>
              <w:top w:val="nil"/>
              <w:left w:val="nil"/>
              <w:bottom w:val="nil"/>
              <w:right w:val="nil"/>
            </w:tcBorders>
            <w:vAlign w:val="center"/>
          </w:tcPr>
          <w:p w14:paraId="6406DF6B" w14:textId="77777777" w:rsidR="003435F3" w:rsidRPr="004F312A" w:rsidRDefault="003435F3" w:rsidP="004F312A">
            <w:pPr>
              <w:spacing w:after="0" w:line="240" w:lineRule="auto"/>
              <w:rPr>
                <w:rFonts w:ascii="Calibri" w:eastAsia="Times New Roman" w:hAnsi="Calibri" w:cs="Calibri"/>
                <w:color w:val="000000"/>
                <w:lang w:eastAsia="en-GB"/>
              </w:rPr>
            </w:pPr>
          </w:p>
        </w:tc>
        <w:tc>
          <w:tcPr>
            <w:tcW w:w="2025" w:type="dxa"/>
            <w:tcBorders>
              <w:top w:val="single" w:sz="4" w:space="0" w:color="FFFFFF"/>
              <w:left w:val="single" w:sz="4" w:space="0" w:color="FFFFFF"/>
              <w:bottom w:val="nil"/>
              <w:right w:val="nil"/>
            </w:tcBorders>
            <w:vAlign w:val="center"/>
          </w:tcPr>
          <w:p w14:paraId="76B5EAA7" w14:textId="77777777" w:rsidR="003435F3" w:rsidRPr="004F312A" w:rsidRDefault="003435F3" w:rsidP="004F312A">
            <w:pPr>
              <w:spacing w:after="0" w:line="240" w:lineRule="auto"/>
              <w:rPr>
                <w:rFonts w:ascii="Calibri" w:eastAsia="Times New Roman" w:hAnsi="Calibri" w:cs="Calibri"/>
                <w:color w:val="000000"/>
                <w:lang w:eastAsia="en-GB"/>
              </w:rPr>
            </w:pPr>
          </w:p>
        </w:tc>
        <w:tc>
          <w:tcPr>
            <w:tcW w:w="237" w:type="dxa"/>
            <w:tcBorders>
              <w:top w:val="nil"/>
              <w:left w:val="nil"/>
              <w:bottom w:val="nil"/>
              <w:right w:val="nil"/>
            </w:tcBorders>
            <w:shd w:val="clear" w:color="auto" w:fill="auto"/>
            <w:noWrap/>
            <w:vAlign w:val="bottom"/>
          </w:tcPr>
          <w:p w14:paraId="3BF80041" w14:textId="77777777" w:rsidR="003435F3" w:rsidRPr="004F312A" w:rsidRDefault="003435F3" w:rsidP="004F312A">
            <w:pPr>
              <w:spacing w:after="0" w:line="240" w:lineRule="auto"/>
              <w:rPr>
                <w:rFonts w:ascii="Times New Roman" w:eastAsia="Times New Roman" w:hAnsi="Times New Roman" w:cs="Times New Roman"/>
                <w:sz w:val="20"/>
                <w:szCs w:val="20"/>
                <w:lang w:eastAsia="en-GB"/>
              </w:rPr>
            </w:pPr>
          </w:p>
        </w:tc>
      </w:tr>
    </w:tbl>
    <w:p w14:paraId="5F4E2D21" w14:textId="77777777" w:rsidR="003435F3" w:rsidRDefault="003435F3" w:rsidP="003435F3">
      <w:pPr>
        <w:rPr>
          <w:rFonts w:cstheme="minorHAnsi"/>
          <w:noProof/>
        </w:rPr>
      </w:pPr>
    </w:p>
    <w:p w14:paraId="1951A638" w14:textId="77777777" w:rsidR="003435F3" w:rsidRDefault="003435F3" w:rsidP="003435F3">
      <w:pPr>
        <w:rPr>
          <w:rFonts w:cstheme="minorHAnsi"/>
          <w:b/>
          <w:bCs/>
          <w:sz w:val="28"/>
          <w:szCs w:val="28"/>
          <w:u w:val="single"/>
        </w:rPr>
      </w:pPr>
    </w:p>
    <w:p w14:paraId="1897FC0E" w14:textId="77777777" w:rsidR="003435F3" w:rsidRDefault="003435F3" w:rsidP="003435F3">
      <w:pPr>
        <w:rPr>
          <w:rFonts w:cstheme="minorHAnsi"/>
          <w:b/>
          <w:bCs/>
          <w:sz w:val="28"/>
          <w:szCs w:val="28"/>
          <w:u w:val="single"/>
        </w:rPr>
      </w:pPr>
    </w:p>
    <w:p w14:paraId="2BFD0909" w14:textId="77777777" w:rsidR="003435F3" w:rsidRDefault="003435F3" w:rsidP="003435F3">
      <w:pPr>
        <w:rPr>
          <w:rFonts w:cstheme="minorHAnsi"/>
          <w:b/>
          <w:bCs/>
          <w:sz w:val="28"/>
          <w:szCs w:val="28"/>
          <w:u w:val="single"/>
        </w:rPr>
      </w:pPr>
    </w:p>
    <w:p w14:paraId="18BB3743" w14:textId="291C7986" w:rsidR="003435F3" w:rsidRDefault="003435F3" w:rsidP="003435F3">
      <w:pPr>
        <w:rPr>
          <w:rFonts w:cstheme="minorHAnsi"/>
          <w:b/>
          <w:bCs/>
          <w:sz w:val="28"/>
          <w:szCs w:val="28"/>
          <w:u w:val="single"/>
        </w:rPr>
      </w:pPr>
    </w:p>
    <w:p w14:paraId="446EE504" w14:textId="6D54B466" w:rsidR="00475DFB" w:rsidRDefault="00475DFB" w:rsidP="003435F3">
      <w:pPr>
        <w:rPr>
          <w:rFonts w:cstheme="minorHAnsi"/>
          <w:b/>
          <w:bCs/>
          <w:sz w:val="28"/>
          <w:szCs w:val="28"/>
          <w:u w:val="single"/>
        </w:rPr>
      </w:pPr>
    </w:p>
    <w:p w14:paraId="6599A71C" w14:textId="52ACD954" w:rsidR="00475DFB" w:rsidRDefault="00475DFB" w:rsidP="003435F3">
      <w:pPr>
        <w:rPr>
          <w:rFonts w:cstheme="minorHAnsi"/>
          <w:b/>
          <w:bCs/>
          <w:sz w:val="28"/>
          <w:szCs w:val="28"/>
          <w:u w:val="single"/>
        </w:rPr>
      </w:pPr>
    </w:p>
    <w:p w14:paraId="4C1A4488" w14:textId="77777777" w:rsidR="00475DFB" w:rsidRDefault="00475DFB" w:rsidP="003435F3">
      <w:pPr>
        <w:rPr>
          <w:rFonts w:cstheme="minorHAnsi"/>
          <w:b/>
          <w:bCs/>
          <w:sz w:val="28"/>
          <w:szCs w:val="28"/>
          <w:u w:val="single"/>
        </w:rPr>
      </w:pPr>
    </w:p>
    <w:p w14:paraId="0277092A" w14:textId="77777777" w:rsidR="003435F3" w:rsidRDefault="003435F3" w:rsidP="003435F3">
      <w:pPr>
        <w:rPr>
          <w:rFonts w:cstheme="minorHAnsi"/>
          <w:b/>
          <w:bCs/>
          <w:sz w:val="28"/>
          <w:szCs w:val="28"/>
          <w:u w:val="single"/>
        </w:rPr>
      </w:pPr>
    </w:p>
    <w:p w14:paraId="6A6F53AE" w14:textId="0CFE4966" w:rsidR="003435F3" w:rsidRPr="00475DFB" w:rsidRDefault="00475DFB" w:rsidP="003435F3">
      <w:pPr>
        <w:rPr>
          <w:rFonts w:cstheme="minorHAnsi"/>
          <w:b/>
          <w:bCs/>
          <w:sz w:val="28"/>
          <w:szCs w:val="28"/>
        </w:rPr>
      </w:pPr>
      <w:r w:rsidRPr="00475DFB">
        <w:rPr>
          <w:rFonts w:cstheme="minorHAnsi"/>
          <w:b/>
          <w:bCs/>
          <w:sz w:val="28"/>
          <w:szCs w:val="28"/>
          <w:highlight w:val="yellow"/>
        </w:rPr>
        <w:lastRenderedPageBreak/>
        <w:t>This is currently NOT YET available as it is being scoped and costed</w:t>
      </w:r>
    </w:p>
    <w:p w14:paraId="7369E8E3" w14:textId="023C9D68" w:rsidR="003435F3" w:rsidRDefault="003435F3" w:rsidP="003435F3">
      <w:pPr>
        <w:rPr>
          <w:rFonts w:cstheme="minorHAnsi"/>
          <w:b/>
          <w:bCs/>
          <w:sz w:val="28"/>
          <w:szCs w:val="28"/>
          <w:u w:val="single"/>
        </w:rPr>
      </w:pPr>
      <w:r>
        <w:rPr>
          <w:rFonts w:cstheme="minorHAnsi"/>
          <w:b/>
          <w:bCs/>
          <w:sz w:val="28"/>
          <w:szCs w:val="28"/>
          <w:u w:val="single"/>
        </w:rPr>
        <w:t>Point of Care – Flu/COVID/RSV Testing</w:t>
      </w:r>
    </w:p>
    <w:p w14:paraId="605E9998" w14:textId="3CA963F9" w:rsidR="003435F3" w:rsidRDefault="003435F3" w:rsidP="003435F3">
      <w:pPr>
        <w:rPr>
          <w:rFonts w:cstheme="minorHAnsi"/>
          <w:b/>
          <w:bCs/>
          <w:sz w:val="28"/>
          <w:szCs w:val="28"/>
          <w:u w:val="single"/>
        </w:rPr>
      </w:pPr>
      <w:r w:rsidRPr="003D7AF3">
        <w:rPr>
          <w:rFonts w:cstheme="minorHAnsi"/>
          <w:sz w:val="28"/>
          <w:szCs w:val="28"/>
        </w:rPr>
        <w:t>This will be helpful particularly for patients who would be suitable for COVID Anti-Viral treatments to avoid inappropriate treatment and to reduce the rate of viral transmission. Again, this is not a test for every patient, but will be helpful and should be considered when you feel it will change the clinical management.</w:t>
      </w:r>
    </w:p>
    <w:p w14:paraId="496D1F59" w14:textId="77777777" w:rsidR="003435F3" w:rsidRPr="003435F3" w:rsidRDefault="003435F3" w:rsidP="003435F3">
      <w:pPr>
        <w:rPr>
          <w:rFonts w:cstheme="minorHAnsi"/>
          <w:b/>
          <w:bCs/>
          <w:sz w:val="28"/>
          <w:szCs w:val="28"/>
          <w:u w:val="single"/>
        </w:rPr>
      </w:pPr>
    </w:p>
    <w:p w14:paraId="51788A9D" w14:textId="0960C47D" w:rsidR="003435F3" w:rsidRDefault="003435F3" w:rsidP="003435F3">
      <w:pPr>
        <w:jc w:val="center"/>
        <w:rPr>
          <w:rFonts w:cstheme="minorHAnsi"/>
          <w:noProof/>
        </w:rPr>
      </w:pPr>
      <w:r>
        <w:rPr>
          <w:noProof/>
        </w:rPr>
        <w:drawing>
          <wp:inline distT="0" distB="0" distL="0" distR="0" wp14:anchorId="50F8A959" wp14:editId="6E8599E4">
            <wp:extent cx="5572125" cy="507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2125" cy="5076825"/>
                    </a:xfrm>
                    <a:prstGeom prst="rect">
                      <a:avLst/>
                    </a:prstGeom>
                  </pic:spPr>
                </pic:pic>
              </a:graphicData>
            </a:graphic>
          </wp:inline>
        </w:drawing>
      </w:r>
    </w:p>
    <w:p w14:paraId="4A341126" w14:textId="77777777" w:rsidR="003435F3" w:rsidRDefault="003435F3" w:rsidP="00853B60">
      <w:pPr>
        <w:rPr>
          <w:rFonts w:cstheme="minorHAnsi"/>
          <w:noProof/>
        </w:rPr>
      </w:pPr>
    </w:p>
    <w:p w14:paraId="148D9CA2" w14:textId="77777777" w:rsidR="003435F3" w:rsidRDefault="003435F3" w:rsidP="00853B60">
      <w:pPr>
        <w:rPr>
          <w:rFonts w:cstheme="minorHAnsi"/>
          <w:noProof/>
        </w:rPr>
      </w:pPr>
    </w:p>
    <w:p w14:paraId="0913A9C7" w14:textId="77777777" w:rsidR="003435F3" w:rsidRDefault="003435F3" w:rsidP="00853B60">
      <w:pPr>
        <w:rPr>
          <w:rFonts w:cstheme="minorHAnsi"/>
          <w:noProof/>
        </w:rPr>
      </w:pPr>
    </w:p>
    <w:p w14:paraId="02B22EB6" w14:textId="77777777" w:rsidR="003435F3" w:rsidRDefault="003435F3" w:rsidP="00853B60">
      <w:pPr>
        <w:rPr>
          <w:rFonts w:cstheme="minorHAnsi"/>
          <w:noProof/>
        </w:rPr>
      </w:pPr>
    </w:p>
    <w:p w14:paraId="6272B7CA" w14:textId="77777777" w:rsidR="003435F3" w:rsidRDefault="003435F3" w:rsidP="00853B60">
      <w:pPr>
        <w:rPr>
          <w:rFonts w:cstheme="minorHAnsi"/>
          <w:noProof/>
        </w:rPr>
      </w:pPr>
    </w:p>
    <w:p w14:paraId="4BBA7322" w14:textId="08B6A8B4" w:rsidR="00853B60" w:rsidRDefault="004F312A" w:rsidP="00853B60">
      <w:pPr>
        <w:rPr>
          <w:rFonts w:cstheme="minorHAnsi"/>
          <w:b/>
          <w:bCs/>
          <w:sz w:val="28"/>
          <w:szCs w:val="28"/>
          <w:u w:val="single"/>
        </w:rPr>
      </w:pPr>
      <w:r w:rsidRPr="003A0D52">
        <w:rPr>
          <w:rFonts w:cstheme="minorHAnsi"/>
          <w:noProof/>
        </w:rPr>
        <w:drawing>
          <wp:inline distT="0" distB="0" distL="0" distR="0" wp14:anchorId="291DD07A" wp14:editId="309DC91C">
            <wp:extent cx="6645910" cy="5523945"/>
            <wp:effectExtent l="0" t="0" r="2540" b="635"/>
            <wp:docPr id="97" name="Picture 9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Diagram&#10;&#10;Description automatically generated"/>
                    <pic:cNvPicPr/>
                  </pic:nvPicPr>
                  <pic:blipFill>
                    <a:blip r:embed="rId15"/>
                    <a:stretch>
                      <a:fillRect/>
                    </a:stretch>
                  </pic:blipFill>
                  <pic:spPr>
                    <a:xfrm>
                      <a:off x="0" y="0"/>
                      <a:ext cx="6645910" cy="5523945"/>
                    </a:xfrm>
                    <a:prstGeom prst="rect">
                      <a:avLst/>
                    </a:prstGeom>
                  </pic:spPr>
                </pic:pic>
              </a:graphicData>
            </a:graphic>
          </wp:inline>
        </w:drawing>
      </w:r>
    </w:p>
    <w:p w14:paraId="24EFFD2D" w14:textId="77777777" w:rsidR="003435F3" w:rsidRDefault="003435F3" w:rsidP="004F312A">
      <w:pPr>
        <w:rPr>
          <w:rFonts w:cstheme="minorHAnsi"/>
          <w:b/>
          <w:bCs/>
          <w:sz w:val="28"/>
          <w:szCs w:val="28"/>
          <w:u w:val="single"/>
        </w:rPr>
      </w:pPr>
    </w:p>
    <w:p w14:paraId="665DD407" w14:textId="091FD30B" w:rsidR="004F312A" w:rsidRDefault="004F312A" w:rsidP="004F312A">
      <w:pPr>
        <w:rPr>
          <w:rFonts w:cstheme="minorHAnsi"/>
          <w:b/>
          <w:bCs/>
          <w:sz w:val="28"/>
          <w:szCs w:val="28"/>
          <w:u w:val="single"/>
        </w:rPr>
      </w:pPr>
      <w:r>
        <w:rPr>
          <w:rFonts w:cstheme="minorHAnsi"/>
          <w:b/>
          <w:bCs/>
          <w:sz w:val="28"/>
          <w:szCs w:val="28"/>
          <w:u w:val="single"/>
        </w:rPr>
        <w:t>Preparing for your shift – Infection Control</w:t>
      </w:r>
    </w:p>
    <w:p w14:paraId="0421B8F9" w14:textId="25D07952" w:rsidR="004F312A" w:rsidRPr="003D7AF3" w:rsidRDefault="004F312A" w:rsidP="004F312A">
      <w:pPr>
        <w:pStyle w:val="BodyText"/>
        <w:spacing w:before="56" w:line="259" w:lineRule="auto"/>
        <w:ind w:right="97"/>
        <w:jc w:val="both"/>
        <w:rPr>
          <w:rFonts w:asciiTheme="minorHAnsi" w:hAnsiTheme="minorHAnsi" w:cstheme="minorHAnsi"/>
          <w:sz w:val="28"/>
          <w:szCs w:val="28"/>
        </w:rPr>
      </w:pPr>
      <w:r w:rsidRPr="003D7AF3">
        <w:rPr>
          <w:rFonts w:asciiTheme="minorHAnsi" w:hAnsiTheme="minorHAnsi" w:cstheme="minorHAnsi"/>
          <w:sz w:val="28"/>
          <w:szCs w:val="28"/>
        </w:rPr>
        <w:t xml:space="preserve">SPCL is aligned to the NHS England National IPC Guidelines - </w:t>
      </w:r>
      <w:hyperlink r:id="rId16" w:history="1">
        <w:r w:rsidRPr="003D7AF3">
          <w:rPr>
            <w:rStyle w:val="Hyperlink"/>
            <w:rFonts w:eastAsia="Times New Roman"/>
            <w:color w:val="0000FF"/>
            <w:sz w:val="28"/>
            <w:szCs w:val="28"/>
          </w:rPr>
          <w:t>NHS England » National infection prevention and control manual (NIPCM) for England</w:t>
        </w:r>
      </w:hyperlink>
      <w:r w:rsidRPr="003D7AF3">
        <w:rPr>
          <w:rFonts w:asciiTheme="minorHAnsi" w:hAnsiTheme="minorHAnsi" w:cstheme="minorHAnsi"/>
          <w:sz w:val="28"/>
          <w:szCs w:val="28"/>
        </w:rPr>
        <w:t xml:space="preserve"> which require Universal Precautions for Infection Control. We will continue to monitor and update these guidelines if they change during the winter period, and updated details will be available in the folders in the clinical rooms</w:t>
      </w:r>
    </w:p>
    <w:p w14:paraId="1CC1E47A" w14:textId="77777777" w:rsidR="004F312A" w:rsidRPr="003D7AF3" w:rsidRDefault="004F312A" w:rsidP="004F312A">
      <w:pPr>
        <w:pStyle w:val="BodyText"/>
        <w:spacing w:before="56" w:line="259" w:lineRule="auto"/>
        <w:ind w:right="97"/>
        <w:jc w:val="both"/>
        <w:rPr>
          <w:rFonts w:asciiTheme="minorHAnsi" w:hAnsiTheme="minorHAnsi" w:cstheme="minorHAnsi"/>
          <w:sz w:val="28"/>
          <w:szCs w:val="28"/>
        </w:rPr>
      </w:pPr>
      <w:r w:rsidRPr="003D7AF3">
        <w:rPr>
          <w:rFonts w:asciiTheme="minorHAnsi" w:hAnsiTheme="minorHAnsi" w:cstheme="minorHAnsi"/>
          <w:sz w:val="28"/>
          <w:szCs w:val="28"/>
        </w:rPr>
        <w:t xml:space="preserve">All staff MUST wear scrubs (or clothes that can be </w:t>
      </w:r>
      <w:proofErr w:type="gramStart"/>
      <w:r w:rsidRPr="003D7AF3">
        <w:rPr>
          <w:rFonts w:asciiTheme="minorHAnsi" w:hAnsiTheme="minorHAnsi" w:cstheme="minorHAnsi"/>
          <w:sz w:val="28"/>
          <w:szCs w:val="28"/>
        </w:rPr>
        <w:t>washed at 60 degrees) AT ALL TIMES</w:t>
      </w:r>
      <w:proofErr w:type="gramEnd"/>
      <w:r w:rsidRPr="003D7AF3">
        <w:rPr>
          <w:rFonts w:asciiTheme="minorHAnsi" w:hAnsiTheme="minorHAnsi" w:cstheme="minorHAnsi"/>
          <w:sz w:val="28"/>
          <w:szCs w:val="28"/>
        </w:rPr>
        <w:t xml:space="preserve"> when working in this building. All staff must also follow PPE guidelines including the correct </w:t>
      </w:r>
      <w:r w:rsidRPr="003D7AF3">
        <w:rPr>
          <w:rFonts w:asciiTheme="minorHAnsi" w:hAnsiTheme="minorHAnsi" w:cstheme="minorHAnsi"/>
          <w:sz w:val="28"/>
          <w:szCs w:val="28"/>
        </w:rPr>
        <w:lastRenderedPageBreak/>
        <w:t>donning and doffing procedures (copies below and posters in all rooms). Aprons and visors will be available for those who would like to use them although they are not mandatory. FRSM type IIR masks must be worn onsite.</w:t>
      </w:r>
    </w:p>
    <w:p w14:paraId="5566E2C0" w14:textId="77777777" w:rsidR="004F312A" w:rsidRPr="003D7AF3" w:rsidRDefault="004F312A" w:rsidP="004F312A">
      <w:pPr>
        <w:pStyle w:val="BodyText"/>
        <w:spacing w:before="158" w:line="259" w:lineRule="auto"/>
        <w:ind w:right="97"/>
        <w:jc w:val="both"/>
        <w:rPr>
          <w:rFonts w:asciiTheme="minorHAnsi" w:hAnsiTheme="minorHAnsi" w:cstheme="minorHAnsi"/>
          <w:sz w:val="28"/>
          <w:szCs w:val="28"/>
        </w:rPr>
      </w:pPr>
      <w:r w:rsidRPr="003D7AF3">
        <w:rPr>
          <w:rFonts w:asciiTheme="minorHAnsi" w:hAnsiTheme="minorHAnsi" w:cstheme="minorHAnsi"/>
          <w:sz w:val="28"/>
          <w:szCs w:val="28"/>
        </w:rPr>
        <w:t>All staff MUST be bare below the elbows, have hair tied back (where applicable), short nails with no nail varnish and no jewelry other than one plain wedding band (although ideally none). Staff are encouraged to get changed on site at the end of their shift.</w:t>
      </w:r>
    </w:p>
    <w:p w14:paraId="6715D60F" w14:textId="77777777" w:rsidR="004F312A" w:rsidRPr="003D7AF3" w:rsidRDefault="004F312A" w:rsidP="004F312A">
      <w:pPr>
        <w:pStyle w:val="BodyText"/>
        <w:spacing w:before="159" w:line="259" w:lineRule="auto"/>
        <w:ind w:right="97"/>
        <w:jc w:val="both"/>
        <w:rPr>
          <w:rFonts w:asciiTheme="minorHAnsi" w:hAnsiTheme="minorHAnsi" w:cstheme="minorHAnsi"/>
          <w:sz w:val="28"/>
          <w:szCs w:val="28"/>
        </w:rPr>
      </w:pPr>
      <w:r w:rsidRPr="003D7AF3">
        <w:rPr>
          <w:rFonts w:asciiTheme="minorHAnsi" w:hAnsiTheme="minorHAnsi" w:cstheme="minorHAnsi"/>
          <w:sz w:val="28"/>
          <w:szCs w:val="28"/>
        </w:rPr>
        <w:t>All staff working at the Acute Respiratory Infection Hub should be encouraged to be immunized against COVID19 and Flu for this season and the employer has a duty to ensure that each staff member undergoes a written COVID risk assessment to determine their personal risks and how to mitigate them.</w:t>
      </w:r>
    </w:p>
    <w:p w14:paraId="4BC1F662" w14:textId="77777777" w:rsidR="004F312A" w:rsidRPr="003D7AF3" w:rsidRDefault="004F312A" w:rsidP="004F312A">
      <w:pPr>
        <w:pStyle w:val="BodyText"/>
        <w:spacing w:before="159" w:line="259" w:lineRule="auto"/>
        <w:ind w:right="97"/>
        <w:rPr>
          <w:rFonts w:asciiTheme="minorHAnsi" w:hAnsiTheme="minorHAnsi" w:cstheme="minorHAnsi"/>
          <w:sz w:val="28"/>
          <w:szCs w:val="28"/>
        </w:rPr>
      </w:pPr>
      <w:r w:rsidRPr="003D7AF3">
        <w:rPr>
          <w:rFonts w:asciiTheme="minorHAnsi" w:hAnsiTheme="minorHAnsi" w:cstheme="minorHAnsi"/>
          <w:sz w:val="28"/>
          <w:szCs w:val="28"/>
        </w:rPr>
        <w:t>Patients attending the hub will (in high probability) have respiratory viral disease, spread by droplet (coughing, sneezing) and contact. All areas need to be well ventilated to reduce viral load. Waiting should be kept to a minimum and social distancing of minimum 1 meter should be enforced. Patients should be provided with and requested to wear FRSM’s onsite if tolerated and age appropriate. Ideally, (where people have arrived by car) people should wait outside to be called through into the hub to prevent overcrowding (this would include when waiting for test results).</w:t>
      </w:r>
    </w:p>
    <w:p w14:paraId="6B15EDE2" w14:textId="77777777" w:rsidR="004F312A" w:rsidRPr="003D7AF3" w:rsidRDefault="004F312A" w:rsidP="004F312A">
      <w:pPr>
        <w:pStyle w:val="BodyText"/>
        <w:spacing w:before="159" w:line="259" w:lineRule="auto"/>
        <w:ind w:right="97"/>
        <w:rPr>
          <w:rFonts w:asciiTheme="minorHAnsi" w:hAnsiTheme="minorHAnsi" w:cstheme="minorHAnsi"/>
          <w:sz w:val="28"/>
          <w:szCs w:val="28"/>
        </w:rPr>
      </w:pPr>
      <w:r w:rsidRPr="003D7AF3">
        <w:rPr>
          <w:rFonts w:asciiTheme="minorHAnsi" w:hAnsiTheme="minorHAnsi" w:cstheme="minorHAnsi"/>
          <w:sz w:val="28"/>
          <w:szCs w:val="28"/>
        </w:rPr>
        <w:t xml:space="preserve">Hand hygiene should be promoted with staff and patient using alcohol hand rubs or soap and running water along with good respiratory etiquette. </w:t>
      </w:r>
    </w:p>
    <w:p w14:paraId="4353E09A" w14:textId="77777777" w:rsidR="004F312A" w:rsidRPr="003D7AF3" w:rsidRDefault="004F312A" w:rsidP="004F312A">
      <w:pPr>
        <w:pStyle w:val="BodyText"/>
        <w:spacing w:before="159" w:line="259" w:lineRule="auto"/>
        <w:ind w:right="97"/>
        <w:rPr>
          <w:rFonts w:asciiTheme="minorHAnsi" w:hAnsiTheme="minorHAnsi" w:cstheme="minorHAnsi"/>
          <w:sz w:val="28"/>
          <w:szCs w:val="28"/>
        </w:rPr>
      </w:pPr>
      <w:r w:rsidRPr="003D7AF3">
        <w:rPr>
          <w:rFonts w:asciiTheme="minorHAnsi" w:hAnsiTheme="minorHAnsi" w:cstheme="minorHAnsi"/>
          <w:sz w:val="28"/>
          <w:szCs w:val="28"/>
        </w:rPr>
        <w:t>Touch points (door handles, lift buttons, taps, chair arms etc.) should be cleaned at regular intervals throughout the day with terminal cleaning at the end of the day using detergent or a chlorine-based solution.</w:t>
      </w:r>
    </w:p>
    <w:p w14:paraId="11FE9513" w14:textId="77777777" w:rsidR="00EC26D1" w:rsidRDefault="004F312A" w:rsidP="00EC26D1">
      <w:pPr>
        <w:pStyle w:val="BodyText"/>
        <w:spacing w:before="159" w:line="259" w:lineRule="auto"/>
        <w:ind w:right="97"/>
        <w:rPr>
          <w:rFonts w:asciiTheme="minorHAnsi" w:hAnsiTheme="minorHAnsi" w:cstheme="minorHAnsi"/>
          <w:sz w:val="28"/>
          <w:szCs w:val="28"/>
        </w:rPr>
      </w:pPr>
      <w:r w:rsidRPr="003D7AF3">
        <w:rPr>
          <w:rFonts w:asciiTheme="minorHAnsi" w:hAnsiTheme="minorHAnsi" w:cstheme="minorHAnsi"/>
          <w:sz w:val="28"/>
          <w:szCs w:val="28"/>
        </w:rPr>
        <w:t>One way flow is not required.</w:t>
      </w:r>
    </w:p>
    <w:p w14:paraId="638B64D1" w14:textId="338F0D50" w:rsidR="004F312A" w:rsidRPr="00EC26D1" w:rsidRDefault="004F312A" w:rsidP="00EC26D1">
      <w:pPr>
        <w:pStyle w:val="BodyText"/>
        <w:spacing w:before="159" w:line="259" w:lineRule="auto"/>
        <w:ind w:right="97"/>
        <w:rPr>
          <w:rFonts w:asciiTheme="minorHAnsi" w:hAnsiTheme="minorHAnsi" w:cstheme="minorHAnsi"/>
          <w:sz w:val="28"/>
          <w:szCs w:val="28"/>
        </w:rPr>
      </w:pPr>
      <w:r>
        <w:rPr>
          <w:rFonts w:cstheme="minorHAnsi"/>
          <w:b/>
          <w:bCs/>
          <w:sz w:val="28"/>
          <w:szCs w:val="28"/>
          <w:u w:val="single"/>
        </w:rPr>
        <w:t>Governance Structure</w:t>
      </w:r>
      <w:bookmarkStart w:id="13" w:name="_Toc121171409"/>
      <w:bookmarkStart w:id="14" w:name="_Toc121239844"/>
    </w:p>
    <w:p w14:paraId="40FA3B61" w14:textId="0938CFDF" w:rsidR="004F312A" w:rsidRPr="004F312A" w:rsidRDefault="004F312A" w:rsidP="004F312A">
      <w:pPr>
        <w:rPr>
          <w:rFonts w:cstheme="minorHAnsi"/>
          <w:b/>
          <w:bCs/>
          <w:sz w:val="28"/>
          <w:szCs w:val="28"/>
          <w:u w:val="single"/>
        </w:rPr>
      </w:pPr>
      <w:r w:rsidRPr="003D7AF3">
        <w:rPr>
          <w:rFonts w:cstheme="minorHAnsi"/>
          <w:sz w:val="28"/>
          <w:szCs w:val="28"/>
        </w:rPr>
        <w:t>The ARI Hub is led by SPCL and falls under the SPCL Governance Structure, along with the SPCL Policies and Procedures. These are available on request.</w:t>
      </w:r>
      <w:bookmarkEnd w:id="13"/>
      <w:bookmarkEnd w:id="14"/>
    </w:p>
    <w:p w14:paraId="4397FAA5" w14:textId="77777777" w:rsidR="004F312A" w:rsidRDefault="004F312A" w:rsidP="004F312A">
      <w:pPr>
        <w:rPr>
          <w:rFonts w:cstheme="minorHAnsi"/>
          <w:b/>
          <w:bCs/>
          <w:sz w:val="28"/>
          <w:szCs w:val="28"/>
          <w:u w:val="single"/>
        </w:rPr>
      </w:pPr>
    </w:p>
    <w:p w14:paraId="448CBDE5" w14:textId="77777777" w:rsidR="004F312A" w:rsidRPr="004F312A" w:rsidRDefault="004F312A" w:rsidP="00853B60">
      <w:pPr>
        <w:rPr>
          <w:rFonts w:cstheme="minorHAnsi"/>
          <w:b/>
          <w:bCs/>
          <w:sz w:val="28"/>
          <w:szCs w:val="28"/>
          <w:u w:val="single"/>
        </w:rPr>
      </w:pPr>
    </w:p>
    <w:sectPr w:rsidR="004F312A" w:rsidRPr="004F312A" w:rsidSect="004535B5">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89EE" w14:textId="77777777" w:rsidR="005C56B7" w:rsidRDefault="005C56B7" w:rsidP="004535B5">
      <w:pPr>
        <w:spacing w:after="0" w:line="240" w:lineRule="auto"/>
      </w:pPr>
      <w:r>
        <w:separator/>
      </w:r>
    </w:p>
  </w:endnote>
  <w:endnote w:type="continuationSeparator" w:id="0">
    <w:p w14:paraId="67913AE1" w14:textId="77777777" w:rsidR="005C56B7" w:rsidRDefault="005C56B7" w:rsidP="0045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92C8" w14:textId="77777777" w:rsidR="00277228" w:rsidRPr="00277228" w:rsidRDefault="00277228">
    <w:pPr>
      <w:pStyle w:val="Footer"/>
      <w:jc w:val="center"/>
      <w:rPr>
        <w:caps/>
        <w:noProof/>
        <w:color w:val="000000" w:themeColor="text1"/>
      </w:rPr>
    </w:pPr>
    <w:r w:rsidRPr="00277228">
      <w:rPr>
        <w:caps/>
        <w:color w:val="000000" w:themeColor="text1"/>
      </w:rPr>
      <w:fldChar w:fldCharType="begin"/>
    </w:r>
    <w:r w:rsidRPr="00277228">
      <w:rPr>
        <w:caps/>
        <w:color w:val="000000" w:themeColor="text1"/>
      </w:rPr>
      <w:instrText xml:space="preserve"> PAGE   \* MERGEFORMAT </w:instrText>
    </w:r>
    <w:r w:rsidRPr="00277228">
      <w:rPr>
        <w:caps/>
        <w:color w:val="000000" w:themeColor="text1"/>
      </w:rPr>
      <w:fldChar w:fldCharType="separate"/>
    </w:r>
    <w:r w:rsidRPr="00277228">
      <w:rPr>
        <w:caps/>
        <w:noProof/>
        <w:color w:val="000000" w:themeColor="text1"/>
      </w:rPr>
      <w:t>2</w:t>
    </w:r>
    <w:r w:rsidRPr="00277228">
      <w:rPr>
        <w:caps/>
        <w:noProof/>
        <w:color w:val="000000" w:themeColor="text1"/>
      </w:rPr>
      <w:fldChar w:fldCharType="end"/>
    </w:r>
  </w:p>
  <w:p w14:paraId="48B79F4B" w14:textId="77777777" w:rsidR="00277228" w:rsidRDefault="0027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951D" w14:textId="77777777" w:rsidR="005C56B7" w:rsidRDefault="005C56B7" w:rsidP="004535B5">
      <w:pPr>
        <w:spacing w:after="0" w:line="240" w:lineRule="auto"/>
      </w:pPr>
      <w:r>
        <w:separator/>
      </w:r>
    </w:p>
  </w:footnote>
  <w:footnote w:type="continuationSeparator" w:id="0">
    <w:p w14:paraId="5BA56A25" w14:textId="77777777" w:rsidR="005C56B7" w:rsidRDefault="005C56B7" w:rsidP="0045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Look w:val="04A0" w:firstRow="1" w:lastRow="0" w:firstColumn="1" w:lastColumn="0" w:noHBand="0" w:noVBand="1"/>
    </w:tblPr>
    <w:tblGrid>
      <w:gridCol w:w="4508"/>
      <w:gridCol w:w="5977"/>
    </w:tblGrid>
    <w:tr w:rsidR="004535B5" w14:paraId="00EE7B7B" w14:textId="79B271CD" w:rsidTr="00277228">
      <w:tc>
        <w:tcPr>
          <w:tcW w:w="4508" w:type="dxa"/>
          <w:tcBorders>
            <w:top w:val="nil"/>
            <w:left w:val="nil"/>
            <w:bottom w:val="nil"/>
            <w:right w:val="nil"/>
          </w:tcBorders>
        </w:tcPr>
        <w:p w14:paraId="09EF1E13" w14:textId="125275EB" w:rsidR="004535B5" w:rsidRDefault="00DA3EC7">
          <w:pPr>
            <w:pStyle w:val="Header"/>
          </w:pPr>
          <w:r>
            <w:t xml:space="preserve">SPCL ARI </w:t>
          </w:r>
          <w:r w:rsidR="004535B5">
            <w:t>SOP</w:t>
          </w:r>
          <w:r w:rsidR="00853B60">
            <w:t xml:space="preserve"> Version 1.</w:t>
          </w:r>
          <w:r w:rsidR="00BB5761">
            <w:t>1</w:t>
          </w:r>
        </w:p>
        <w:p w14:paraId="2730D8D1" w14:textId="2797F5A4" w:rsidR="004535B5" w:rsidRDefault="00BB5761">
          <w:pPr>
            <w:pStyle w:val="Header"/>
          </w:pPr>
          <w:r>
            <w:t xml:space="preserve">January </w:t>
          </w:r>
          <w:r w:rsidR="004535B5">
            <w:t>2023</w:t>
          </w:r>
        </w:p>
      </w:tc>
      <w:tc>
        <w:tcPr>
          <w:tcW w:w="5977" w:type="dxa"/>
          <w:tcBorders>
            <w:top w:val="nil"/>
            <w:left w:val="nil"/>
            <w:bottom w:val="nil"/>
            <w:right w:val="nil"/>
          </w:tcBorders>
        </w:tcPr>
        <w:p w14:paraId="17FA85DF" w14:textId="4DC4CF44" w:rsidR="004535B5" w:rsidRDefault="004535B5" w:rsidP="004535B5">
          <w:pPr>
            <w:pStyle w:val="Header"/>
            <w:jc w:val="right"/>
          </w:pPr>
          <w:r>
            <w:rPr>
              <w:noProof/>
            </w:rPr>
            <w:drawing>
              <wp:inline distT="0" distB="0" distL="0" distR="0" wp14:anchorId="6AB3B643" wp14:editId="2F082265">
                <wp:extent cx="1085215" cy="771525"/>
                <wp:effectExtent l="0" t="0" r="63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01876" cy="783370"/>
                        </a:xfrm>
                        <a:prstGeom prst="rect">
                          <a:avLst/>
                        </a:prstGeom>
                        <a:noFill/>
                        <a:ln>
                          <a:noFill/>
                          <a:prstDash/>
                        </a:ln>
                      </pic:spPr>
                    </pic:pic>
                  </a:graphicData>
                </a:graphic>
              </wp:inline>
            </w:drawing>
          </w:r>
        </w:p>
      </w:tc>
    </w:tr>
  </w:tbl>
  <w:p w14:paraId="00DEAAD4" w14:textId="0E0042BC" w:rsidR="004535B5" w:rsidRDefault="004535B5">
    <w:pPr>
      <w:pStyle w:val="Header"/>
    </w:pPr>
  </w:p>
  <w:p w14:paraId="13F05ECD" w14:textId="6DE3D25D" w:rsidR="004535B5" w:rsidRDefault="0045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509"/>
    <w:multiLevelType w:val="hybridMultilevel"/>
    <w:tmpl w:val="4250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236C1"/>
    <w:multiLevelType w:val="hybridMultilevel"/>
    <w:tmpl w:val="3C14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C01A4"/>
    <w:multiLevelType w:val="hybridMultilevel"/>
    <w:tmpl w:val="6486F6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B5"/>
    <w:rsid w:val="001D394F"/>
    <w:rsid w:val="001E0FB3"/>
    <w:rsid w:val="001F0A1C"/>
    <w:rsid w:val="001F71A7"/>
    <w:rsid w:val="00251F6B"/>
    <w:rsid w:val="00277228"/>
    <w:rsid w:val="00290937"/>
    <w:rsid w:val="003435F3"/>
    <w:rsid w:val="0036510F"/>
    <w:rsid w:val="004535B5"/>
    <w:rsid w:val="00475DFB"/>
    <w:rsid w:val="004F312A"/>
    <w:rsid w:val="005C56B7"/>
    <w:rsid w:val="0062774A"/>
    <w:rsid w:val="007C7431"/>
    <w:rsid w:val="00853B60"/>
    <w:rsid w:val="00A24487"/>
    <w:rsid w:val="00B36A04"/>
    <w:rsid w:val="00B77247"/>
    <w:rsid w:val="00BB5761"/>
    <w:rsid w:val="00DA3EC7"/>
    <w:rsid w:val="00DE1D7C"/>
    <w:rsid w:val="00EC26D1"/>
    <w:rsid w:val="00EF7018"/>
    <w:rsid w:val="00F07244"/>
    <w:rsid w:val="00F62711"/>
    <w:rsid w:val="00F802AF"/>
    <w:rsid w:val="00FF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EE76C"/>
  <w15:chartTrackingRefBased/>
  <w15:docId w15:val="{D3C4A9EC-C150-4CE8-B5F7-77A57B21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2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B5"/>
  </w:style>
  <w:style w:type="paragraph" w:styleId="Footer">
    <w:name w:val="footer"/>
    <w:basedOn w:val="Normal"/>
    <w:link w:val="FooterChar"/>
    <w:uiPriority w:val="99"/>
    <w:unhideWhenUsed/>
    <w:rsid w:val="0045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B5"/>
  </w:style>
  <w:style w:type="table" w:styleId="TableGrid">
    <w:name w:val="Table Grid"/>
    <w:basedOn w:val="TableNormal"/>
    <w:uiPriority w:val="39"/>
    <w:rsid w:val="0045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7228"/>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77228"/>
    <w:rPr>
      <w:rFonts w:ascii="Calibri" w:eastAsia="Calibri" w:hAnsi="Calibri" w:cs="Calibri"/>
      <w:lang w:val="en-US"/>
    </w:rPr>
  </w:style>
  <w:style w:type="paragraph" w:styleId="TOC1">
    <w:name w:val="toc 1"/>
    <w:basedOn w:val="Normal"/>
    <w:uiPriority w:val="39"/>
    <w:qFormat/>
    <w:rsid w:val="00277228"/>
    <w:pPr>
      <w:widowControl w:val="0"/>
      <w:autoSpaceDE w:val="0"/>
      <w:autoSpaceDN w:val="0"/>
      <w:spacing w:before="119" w:after="0" w:line="240" w:lineRule="auto"/>
      <w:ind w:left="100"/>
    </w:pPr>
    <w:rPr>
      <w:rFonts w:ascii="Calibri" w:eastAsia="Calibri" w:hAnsi="Calibri" w:cs="Calibri"/>
      <w:lang w:val="en-US"/>
    </w:rPr>
  </w:style>
  <w:style w:type="character" w:customStyle="1" w:styleId="Heading1Char">
    <w:name w:val="Heading 1 Char"/>
    <w:basedOn w:val="DefaultParagraphFont"/>
    <w:link w:val="Heading1"/>
    <w:uiPriority w:val="9"/>
    <w:rsid w:val="002772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77228"/>
    <w:pPr>
      <w:outlineLvl w:val="9"/>
    </w:pPr>
    <w:rPr>
      <w:lang w:val="en-US"/>
    </w:rPr>
  </w:style>
  <w:style w:type="paragraph" w:styleId="ListParagraph">
    <w:name w:val="List Paragraph"/>
    <w:basedOn w:val="Normal"/>
    <w:uiPriority w:val="34"/>
    <w:qFormat/>
    <w:rsid w:val="00277228"/>
    <w:pPr>
      <w:widowControl w:val="0"/>
      <w:autoSpaceDE w:val="0"/>
      <w:autoSpaceDN w:val="0"/>
      <w:spacing w:after="0" w:line="240" w:lineRule="auto"/>
      <w:ind w:left="820" w:hanging="360"/>
    </w:pPr>
    <w:rPr>
      <w:rFonts w:ascii="Calibri" w:eastAsia="Calibri" w:hAnsi="Calibri" w:cs="Calibri"/>
      <w:lang w:val="en-US"/>
    </w:rPr>
  </w:style>
  <w:style w:type="character" w:styleId="Hyperlink">
    <w:name w:val="Hyperlink"/>
    <w:basedOn w:val="DefaultParagraphFont"/>
    <w:uiPriority w:val="99"/>
    <w:unhideWhenUsed/>
    <w:rsid w:val="00277228"/>
    <w:rPr>
      <w:color w:val="0563C1" w:themeColor="hyperlink"/>
      <w:u w:val="single"/>
    </w:rPr>
  </w:style>
  <w:style w:type="paragraph" w:customStyle="1" w:styleId="Default">
    <w:name w:val="Default"/>
    <w:rsid w:val="00FF3AB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3AB4"/>
    <w:rPr>
      <w:color w:val="605E5C"/>
      <w:shd w:val="clear" w:color="auto" w:fill="E1DFDD"/>
    </w:rPr>
  </w:style>
  <w:style w:type="paragraph" w:customStyle="1" w:styleId="TableParagraph">
    <w:name w:val="Table Paragraph"/>
    <w:basedOn w:val="Normal"/>
    <w:uiPriority w:val="1"/>
    <w:qFormat/>
    <w:rsid w:val="00853B60"/>
    <w:pPr>
      <w:widowControl w:val="0"/>
      <w:autoSpaceDE w:val="0"/>
      <w:autoSpaceDN w:val="0"/>
      <w:spacing w:after="0" w:line="240" w:lineRule="auto"/>
      <w:jc w:val="center"/>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69454">
      <w:bodyDiv w:val="1"/>
      <w:marLeft w:val="0"/>
      <w:marRight w:val="0"/>
      <w:marTop w:val="0"/>
      <w:marBottom w:val="0"/>
      <w:divBdr>
        <w:top w:val="none" w:sz="0" w:space="0" w:color="auto"/>
        <w:left w:val="none" w:sz="0" w:space="0" w:color="auto"/>
        <w:bottom w:val="none" w:sz="0" w:space="0" w:color="auto"/>
        <w:right w:val="none" w:sz="0" w:space="0" w:color="auto"/>
      </w:divBdr>
    </w:div>
    <w:div w:id="16438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br01.safelinks.protection.outlook.com/?url=https%3A%2F%2Fwww.england.nhs.uk%2Fnational-infection-prevention-and-control-manual-nipcm-for-england%2F&amp;data=05%7C01%7Cc.okeeffe%40nhs.net%7Cf2da64f432874682373008dad7a61943%7C37c354b285b047f5b22207b48d774ee3%7C0%7C0%7C638059405623362174%7CUnknown%7CTWFpbGZsb3d8eyJWIjoiMC4wLjAwMDAiLCJQIjoiV2luMzIiLCJBTiI6Ik1haWwiLCJXVCI6Mn0%3D%7C3000%7C%7C%7C&amp;sdata=HDFzJMQjNdoB8ugrDKdDecl26ZZgvLXhD1FO3DKLGak%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88929/Weekly_Flu_and_COVID-19_report_w27.pdf"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england.nhs.uk/wp-content/uploads/2022/10/BW2064-combined-adult-paediatric-ari-hubs-october-22.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68304CBCCEF42A3EDD71A17FF4BB3" ma:contentTypeVersion="6" ma:contentTypeDescription="Create a new document." ma:contentTypeScope="" ma:versionID="19cdc9239d1075f41135753abcac9bf3">
  <xsd:schema xmlns:xsd="http://www.w3.org/2001/XMLSchema" xmlns:xs="http://www.w3.org/2001/XMLSchema" xmlns:p="http://schemas.microsoft.com/office/2006/metadata/properties" xmlns:ns1="http://schemas.microsoft.com/sharepoint/v3" xmlns:ns2="ebedb467-29c3-4fd7-a43e-60e23cb69865" targetNamespace="http://schemas.microsoft.com/office/2006/metadata/properties" ma:root="true" ma:fieldsID="85d250dd47f882762768b0f1d8a5c79b" ns1:_="" ns2:_="">
    <xsd:import namespace="http://schemas.microsoft.com/sharepoint/v3"/>
    <xsd:import namespace="ebedb467-29c3-4fd7-a43e-60e23cb69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db467-29c3-4fd7-a43e-60e23cb69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4ED9E-B0ED-4912-A057-5DAAB3A3DAE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ebedb467-29c3-4fd7-a43e-60e23cb69865"/>
    <ds:schemaRef ds:uri="http://www.w3.org/XML/1998/namespace"/>
  </ds:schemaRefs>
</ds:datastoreItem>
</file>

<file path=customXml/itemProps2.xml><?xml version="1.0" encoding="utf-8"?>
<ds:datastoreItem xmlns:ds="http://schemas.openxmlformats.org/officeDocument/2006/customXml" ds:itemID="{E7D3AAB0-411B-425A-9475-B22AECA53720}">
  <ds:schemaRefs>
    <ds:schemaRef ds:uri="http://schemas.microsoft.com/sharepoint/v3/contenttype/forms"/>
  </ds:schemaRefs>
</ds:datastoreItem>
</file>

<file path=customXml/itemProps3.xml><?xml version="1.0" encoding="utf-8"?>
<ds:datastoreItem xmlns:ds="http://schemas.openxmlformats.org/officeDocument/2006/customXml" ds:itemID="{10BDA7A3-818D-4836-B2A3-DA0D6B4B5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db467-29c3-4fd7-a43e-60e23cb69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1813</Words>
  <Characters>10337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LAWAL, Natasha (SOUTHAMPTON PRIMARY CARE LIMITED)</dc:creator>
  <cp:keywords/>
  <dc:description/>
  <cp:lastModifiedBy>ROBINS, Ali (SOUTHAMPTON PRIMARY CARE LIMITED)</cp:lastModifiedBy>
  <cp:revision>2</cp:revision>
  <dcterms:created xsi:type="dcterms:W3CDTF">2023-01-02T13:24:00Z</dcterms:created>
  <dcterms:modified xsi:type="dcterms:W3CDTF">2023-01-02T13:24:00Z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0x010100BD968304CBCCEF42A3EDD71A17FF4BB3</vt:lpwstr>
  </property>
</Properties>
</file>