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305B" w14:textId="6EA23803" w:rsidR="00153476" w:rsidRPr="00DA748E" w:rsidRDefault="006629FB" w:rsidP="00123A21">
      <w:pPr>
        <w:jc w:val="both"/>
        <w:rPr>
          <w:b/>
          <w:bCs/>
          <w:color w:val="548DD4" w:themeColor="text2" w:themeTint="99"/>
          <w:sz w:val="36"/>
          <w:szCs w:val="36"/>
        </w:rPr>
      </w:pPr>
      <w:r>
        <w:rPr>
          <w:b/>
          <w:bCs/>
          <w:color w:val="548DD4" w:themeColor="text2" w:themeTint="99"/>
          <w:sz w:val="36"/>
          <w:szCs w:val="36"/>
        </w:rPr>
        <w:t>Paediatric Weight Management GP Information Pack</w:t>
      </w:r>
      <w:r w:rsidR="00DA748E" w:rsidRPr="00DA748E">
        <w:rPr>
          <w:b/>
          <w:bCs/>
          <w:color w:val="548DD4" w:themeColor="text2" w:themeTint="99"/>
          <w:sz w:val="36"/>
          <w:szCs w:val="36"/>
        </w:rPr>
        <w:t xml:space="preserve"> </w:t>
      </w:r>
    </w:p>
    <w:p w14:paraId="62F6CD00" w14:textId="290B858A" w:rsidR="00992CE2" w:rsidRPr="00A64CD7" w:rsidRDefault="00DA748E" w:rsidP="00123A21">
      <w:pPr>
        <w:jc w:val="both"/>
      </w:pPr>
      <w:r>
        <w:t>Attached below is information about who to refer to secondary or tertiary care (both can be done through the centralised weight management referral form attached). For children who do not meet criteria for secondary care input</w:t>
      </w:r>
      <w:r w:rsidR="00A64CD7">
        <w:t>/ or who are on a waiting list</w:t>
      </w:r>
      <w:r>
        <w:t xml:space="preserve"> we include information about how to write an obesity prescription and some further resources.</w:t>
      </w:r>
    </w:p>
    <w:p w14:paraId="33533219" w14:textId="11B84248" w:rsidR="00992CE2" w:rsidRDefault="00992CE2" w:rsidP="00123A21">
      <w:pPr>
        <w:jc w:val="both"/>
        <w:rPr>
          <w:b/>
          <w:bCs/>
          <w:color w:val="548DD4" w:themeColor="text2" w:themeTint="99"/>
          <w:sz w:val="32"/>
          <w:szCs w:val="32"/>
        </w:rPr>
      </w:pPr>
      <w:r w:rsidRPr="00992CE2">
        <w:rPr>
          <w:b/>
          <w:bCs/>
          <w:color w:val="548DD4" w:themeColor="text2" w:themeTint="99"/>
          <w:sz w:val="32"/>
          <w:szCs w:val="32"/>
        </w:rPr>
        <w:t>Initial assessment of children who are overweight/ obese</w:t>
      </w:r>
    </w:p>
    <w:p w14:paraId="64D380EC" w14:textId="21F5CD99" w:rsidR="00A64CD7" w:rsidRDefault="00A64CD7" w:rsidP="00123A21">
      <w:pPr>
        <w:jc w:val="both"/>
        <w:rPr>
          <w:color w:val="548DD4" w:themeColor="text2" w:themeTint="99"/>
        </w:rPr>
      </w:pPr>
      <w:r>
        <w:rPr>
          <w:color w:val="548DD4" w:themeColor="text2" w:themeTint="99"/>
        </w:rPr>
        <w:t>Background</w:t>
      </w:r>
    </w:p>
    <w:p w14:paraId="1421E805" w14:textId="79796056" w:rsidR="00A64CD7" w:rsidRDefault="00A64CD7" w:rsidP="00123A21">
      <w:pPr>
        <w:jc w:val="both"/>
      </w:pPr>
      <w:r w:rsidRPr="00A64CD7">
        <w:t>1 in 4 children are now leaving primary school obese in England according to the latest National Childhood Measuring Programme 2021 data</w:t>
      </w:r>
      <w:r>
        <w:t>. This is a shocking statistic and will</w:t>
      </w:r>
      <w:r w:rsidR="00772639">
        <w:t xml:space="preserve"> lead</w:t>
      </w:r>
      <w:r>
        <w:t xml:space="preserve"> to significant comorbidity. Obesity is now the leading cause of reduction in life </w:t>
      </w:r>
      <w:proofErr w:type="gramStart"/>
      <w:r>
        <w:t>expectancy</w:t>
      </w:r>
      <w:proofErr w:type="gramEnd"/>
      <w:r>
        <w:t xml:space="preserve"> and we are now seeing children as young as 3</w:t>
      </w:r>
      <w:r w:rsidR="006629FB">
        <w:t xml:space="preserve"> years of age</w:t>
      </w:r>
      <w:r>
        <w:t xml:space="preserve"> with obesity related complications </w:t>
      </w:r>
      <w:r w:rsidR="00772639">
        <w:t>who</w:t>
      </w:r>
      <w:r>
        <w:t xml:space="preserve"> require hospital care. The scale of the obesity epidemic means all healthcare professionals need to be involved in tackling the problem. Many of us find this a difficult topic to talk about but in our experience a non-judgemental</w:t>
      </w:r>
      <w:r w:rsidR="003B0DAE">
        <w:t xml:space="preserve"> open approach</w:t>
      </w:r>
      <w:r w:rsidR="00034A5D">
        <w:t xml:space="preserve">, often centred around the child’s growth chart measurements </w:t>
      </w:r>
      <w:r w:rsidR="006629FB">
        <w:t xml:space="preserve">usually </w:t>
      </w:r>
      <w:r w:rsidR="00034A5D">
        <w:t xml:space="preserve">works well. </w:t>
      </w:r>
      <w:r w:rsidR="003B0DAE">
        <w:t xml:space="preserve"> </w:t>
      </w:r>
    </w:p>
    <w:p w14:paraId="3DD25546" w14:textId="7FC8BCAB" w:rsidR="003B0DAE" w:rsidRPr="003B0DAE" w:rsidRDefault="003B0DAE" w:rsidP="00123A21">
      <w:pPr>
        <w:jc w:val="both"/>
        <w:rPr>
          <w:color w:val="548DD4" w:themeColor="text2" w:themeTint="99"/>
        </w:rPr>
      </w:pPr>
      <w:r w:rsidRPr="003B0DAE">
        <w:rPr>
          <w:color w:val="548DD4" w:themeColor="text2" w:themeTint="99"/>
        </w:rPr>
        <w:t>Initial assessment</w:t>
      </w:r>
    </w:p>
    <w:p w14:paraId="3B519934" w14:textId="06A50172" w:rsidR="00992CE2" w:rsidRDefault="00992CE2" w:rsidP="00123A21">
      <w:pPr>
        <w:jc w:val="both"/>
      </w:pPr>
      <w:r>
        <w:t>The child’s height, weight and BMI need measuring and plotting on a growth chart. The free UK-WHO Growth Charts app recommended by the Royal College of Paediatric and Child Health can be very helpful in doing this.</w:t>
      </w:r>
    </w:p>
    <w:p w14:paraId="03353002" w14:textId="7F5C56D3" w:rsidR="0036514C" w:rsidRDefault="0036514C" w:rsidP="00123A21">
      <w:pPr>
        <w:jc w:val="both"/>
      </w:pPr>
      <w:r>
        <w:rPr>
          <w:noProof/>
        </w:rPr>
        <w:drawing>
          <wp:inline distT="0" distB="0" distL="0" distR="0" wp14:anchorId="08BCBC7E" wp14:editId="28D49B73">
            <wp:extent cx="1638300" cy="2571750"/>
            <wp:effectExtent l="0" t="0" r="0" b="0"/>
            <wp:docPr id="1" name="Picture 1" descr="Image result for uk who growth char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who growth chart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2571750"/>
                    </a:xfrm>
                    <a:prstGeom prst="rect">
                      <a:avLst/>
                    </a:prstGeom>
                    <a:noFill/>
                    <a:ln>
                      <a:noFill/>
                    </a:ln>
                  </pic:spPr>
                </pic:pic>
              </a:graphicData>
            </a:graphic>
          </wp:inline>
        </w:drawing>
      </w:r>
    </w:p>
    <w:p w14:paraId="42C6806B" w14:textId="63085463" w:rsidR="00992CE2" w:rsidRPr="00992CE2" w:rsidRDefault="00992CE2" w:rsidP="00123A21">
      <w:pPr>
        <w:jc w:val="both"/>
        <w:rPr>
          <w:color w:val="548DD4" w:themeColor="text2" w:themeTint="99"/>
        </w:rPr>
      </w:pPr>
      <w:r w:rsidRPr="00992CE2">
        <w:rPr>
          <w:color w:val="548DD4" w:themeColor="text2" w:themeTint="99"/>
        </w:rPr>
        <w:t>Definition of overweight and obese in children</w:t>
      </w:r>
    </w:p>
    <w:p w14:paraId="479B28C0" w14:textId="06CED8D1" w:rsidR="00992CE2" w:rsidRDefault="00992CE2" w:rsidP="00123A21">
      <w:pPr>
        <w:jc w:val="both"/>
      </w:pPr>
      <w:r>
        <w:t xml:space="preserve">A child is overweight if their BMI centile is between the </w:t>
      </w:r>
      <w:r w:rsidR="006629FB">
        <w:t>9</w:t>
      </w:r>
      <w:r w:rsidR="006629FB">
        <w:rPr>
          <w:vertAlign w:val="superscript"/>
        </w:rPr>
        <w:t>1st</w:t>
      </w:r>
      <w:r>
        <w:t xml:space="preserve"> and 9</w:t>
      </w:r>
      <w:r w:rsidR="006629FB">
        <w:t>8th</w:t>
      </w:r>
      <w:r w:rsidRPr="00992CE2">
        <w:rPr>
          <w:vertAlign w:val="superscript"/>
        </w:rPr>
        <w:t>th</w:t>
      </w:r>
      <w:r>
        <w:t xml:space="preserve"> centile. A child is obese if their BMI centile is &gt;9</w:t>
      </w:r>
      <w:r w:rsidR="006629FB">
        <w:t>8</w:t>
      </w:r>
      <w:r w:rsidRPr="00992CE2">
        <w:rPr>
          <w:vertAlign w:val="superscript"/>
        </w:rPr>
        <w:t>th</w:t>
      </w:r>
      <w:r>
        <w:t xml:space="preserve"> centile </w:t>
      </w:r>
      <w:r w:rsidR="00034A5D">
        <w:t>(</w:t>
      </w:r>
      <w:r>
        <w:t>or the BMI standard deviation score is &gt;2)</w:t>
      </w:r>
    </w:p>
    <w:p w14:paraId="5EFA540F" w14:textId="434E4328" w:rsidR="00992CE2" w:rsidRDefault="00992CE2" w:rsidP="00123A21">
      <w:pPr>
        <w:jc w:val="both"/>
      </w:pPr>
      <w:r>
        <w:t xml:space="preserve">A simpler way of looking at this is that if a child’s weight is </w:t>
      </w:r>
      <w:r w:rsidR="006F16A3">
        <w:t>greater than 3</w:t>
      </w:r>
      <w:r>
        <w:t xml:space="preserve"> centile</w:t>
      </w:r>
      <w:r w:rsidR="00034A5D">
        <w:t xml:space="preserve"> lines</w:t>
      </w:r>
      <w:r>
        <w:t xml:space="preserve"> above their </w:t>
      </w:r>
      <w:proofErr w:type="gramStart"/>
      <w:r>
        <w:t>height</w:t>
      </w:r>
      <w:proofErr w:type="gramEnd"/>
      <w:r>
        <w:t xml:space="preserve"> they are obese.</w:t>
      </w:r>
    </w:p>
    <w:p w14:paraId="09FDC12F" w14:textId="38A48A59" w:rsidR="00992CE2" w:rsidRDefault="00992CE2" w:rsidP="00123A21">
      <w:pPr>
        <w:jc w:val="both"/>
      </w:pPr>
      <w:r w:rsidRPr="00034A5D">
        <w:rPr>
          <w:b/>
          <w:bCs/>
        </w:rPr>
        <w:lastRenderedPageBreak/>
        <w:t>NB: actual BMI values are not used in children as they are in adults</w:t>
      </w:r>
      <w:r>
        <w:t xml:space="preserve">. A child may have a BMI of 26 but still be severely obese. It is the BMI </w:t>
      </w:r>
      <w:r w:rsidRPr="00034A5D">
        <w:rPr>
          <w:u w:val="single"/>
        </w:rPr>
        <w:t>centile</w:t>
      </w:r>
      <w:r>
        <w:t xml:space="preserve"> that is important!</w:t>
      </w:r>
    </w:p>
    <w:p w14:paraId="1B5C3F24" w14:textId="327B506C" w:rsidR="00936664" w:rsidRPr="00936664" w:rsidRDefault="00936664" w:rsidP="00123A21">
      <w:pPr>
        <w:jc w:val="both"/>
        <w:rPr>
          <w:color w:val="548DD4" w:themeColor="text2" w:themeTint="99"/>
        </w:rPr>
      </w:pPr>
      <w:r w:rsidRPr="00936664">
        <w:rPr>
          <w:color w:val="548DD4" w:themeColor="text2" w:themeTint="99"/>
        </w:rPr>
        <w:t>Percentage excess weight</w:t>
      </w:r>
    </w:p>
    <w:p w14:paraId="345EE08A" w14:textId="786D60EE" w:rsidR="00992CE2" w:rsidRDefault="00992CE2" w:rsidP="00123A21">
      <w:pPr>
        <w:jc w:val="both"/>
      </w:pPr>
      <w:r>
        <w:t xml:space="preserve">We are increasingly working out the percentage excess weight of patients as </w:t>
      </w:r>
      <w:proofErr w:type="gramStart"/>
      <w:r>
        <w:t>this correlates</w:t>
      </w:r>
      <w:proofErr w:type="gramEnd"/>
      <w:r>
        <w:t xml:space="preserve"> to risk of medical co-morbidities. You do this by working out the </w:t>
      </w:r>
      <w:r w:rsidR="00936664">
        <w:t>ideal weight based on their height centile and then subtract the ideal weight from the actual weight and divide the total by the ideal weight.</w:t>
      </w:r>
    </w:p>
    <w:p w14:paraId="21F743D1" w14:textId="4414AB61" w:rsidR="0036514C" w:rsidRDefault="0036514C" w:rsidP="00123A21">
      <w:pPr>
        <w:jc w:val="both"/>
      </w:pPr>
      <w:r>
        <w:t>Our experience of looking after children who are overweight shows that once children reach 100% excess weight (</w:t>
      </w:r>
      <w:proofErr w:type="spellStart"/>
      <w:r>
        <w:t>ie</w:t>
      </w:r>
      <w:proofErr w:type="spellEnd"/>
      <w:r>
        <w:t xml:space="preserve"> double </w:t>
      </w:r>
      <w:r w:rsidR="006629FB">
        <w:t>ideal</w:t>
      </w:r>
      <w:r>
        <w:t xml:space="preserve"> weight) they all have at least one medically significant comorbidity.</w:t>
      </w:r>
    </w:p>
    <w:p w14:paraId="0964A2B0" w14:textId="13217C2A" w:rsidR="00936664" w:rsidRDefault="00034A5D" w:rsidP="00123A21">
      <w:pPr>
        <w:jc w:val="both"/>
      </w:pPr>
      <w:r>
        <w:t xml:space="preserve">If a child is carrying 100% or more excess </w:t>
      </w:r>
      <w:proofErr w:type="gramStart"/>
      <w:r>
        <w:t>weight</w:t>
      </w:r>
      <w:proofErr w:type="gramEnd"/>
      <w:r>
        <w:t xml:space="preserve"> they need urgent referral to the tertiary </w:t>
      </w:r>
      <w:r w:rsidR="0036514C">
        <w:t>clinic.</w:t>
      </w:r>
    </w:p>
    <w:p w14:paraId="7F36EF06" w14:textId="2ACA50A5" w:rsidR="00992CE2" w:rsidRDefault="00936664" w:rsidP="00123A21">
      <w:pPr>
        <w:jc w:val="both"/>
        <w:rPr>
          <w:color w:val="548DD4" w:themeColor="text2" w:themeTint="99"/>
        </w:rPr>
      </w:pPr>
      <w:r w:rsidRPr="00936664">
        <w:rPr>
          <w:color w:val="548DD4" w:themeColor="text2" w:themeTint="99"/>
        </w:rPr>
        <w:t>Parental target height range</w:t>
      </w:r>
    </w:p>
    <w:p w14:paraId="7A64C5B6" w14:textId="02C0EF5D" w:rsidR="003B0DAE" w:rsidRDefault="003B0DAE" w:rsidP="00123A21">
      <w:pPr>
        <w:jc w:val="both"/>
      </w:pPr>
      <w:r w:rsidRPr="003B0DAE">
        <w:t>Most children with environmental obesity are taller than average (in the upper half of their parental target centile). A child who is particularly short or at the bottom end of the parental target centile is likely to need further assessment to rule out an endocrine cause of obesity.</w:t>
      </w:r>
    </w:p>
    <w:p w14:paraId="0190DE82" w14:textId="2CCEA762" w:rsidR="003B0DAE" w:rsidRDefault="005945F6" w:rsidP="00123A21">
      <w:pPr>
        <w:jc w:val="both"/>
      </w:pPr>
      <w:r>
        <w:t>Further information about calculating target parental height centiles can be found here:</w:t>
      </w:r>
    </w:p>
    <w:p w14:paraId="0EF815CC" w14:textId="27FEA856" w:rsidR="005945F6" w:rsidRDefault="005945F6" w:rsidP="00123A21">
      <w:pPr>
        <w:jc w:val="both"/>
      </w:pPr>
      <w:r>
        <w:t>http://</w:t>
      </w:r>
      <w:r w:rsidRPr="005945F6">
        <w:t>gpnotebook.com/simplepage.cfm?ID=-133824460</w:t>
      </w:r>
    </w:p>
    <w:p w14:paraId="6CDBBDF9" w14:textId="3DFA1FE6" w:rsidR="008150CD" w:rsidRDefault="008150CD" w:rsidP="00123A21">
      <w:pPr>
        <w:jc w:val="both"/>
        <w:rPr>
          <w:color w:val="548DD4" w:themeColor="text2" w:themeTint="99"/>
        </w:rPr>
      </w:pPr>
      <w:r>
        <w:rPr>
          <w:color w:val="548DD4" w:themeColor="text2" w:themeTint="99"/>
        </w:rPr>
        <w:t>Past medical history</w:t>
      </w:r>
    </w:p>
    <w:p w14:paraId="3FA69A63" w14:textId="2160AED4" w:rsidR="008150CD" w:rsidRDefault="008150CD" w:rsidP="00123A21">
      <w:pPr>
        <w:jc w:val="both"/>
      </w:pPr>
      <w:r>
        <w:t>Please include relevant details such as treatment with steroid</w:t>
      </w:r>
      <w:r w:rsidR="0036514C">
        <w:t>s/ asthma/</w:t>
      </w:r>
      <w:r w:rsidR="00E96F33">
        <w:t xml:space="preserve"> previous gallstones or pancreatitis/</w:t>
      </w:r>
      <w:r w:rsidR="0036514C">
        <w:t xml:space="preserve"> conditions limiting mobility</w:t>
      </w:r>
    </w:p>
    <w:p w14:paraId="62F2BAFD" w14:textId="702D5678" w:rsidR="0036514C" w:rsidRDefault="0036514C" w:rsidP="00123A21">
      <w:pPr>
        <w:jc w:val="both"/>
        <w:rPr>
          <w:color w:val="548DD4" w:themeColor="text2" w:themeTint="99"/>
        </w:rPr>
      </w:pPr>
      <w:r w:rsidRPr="0036514C">
        <w:rPr>
          <w:color w:val="548DD4" w:themeColor="text2" w:themeTint="99"/>
        </w:rPr>
        <w:t>Comorbidity screen</w:t>
      </w:r>
    </w:p>
    <w:p w14:paraId="65E15566" w14:textId="77777777" w:rsidR="00E96F33" w:rsidRDefault="0036514C" w:rsidP="00123A21">
      <w:pPr>
        <w:jc w:val="both"/>
      </w:pPr>
      <w:r>
        <w:t>Please check for symptoms</w:t>
      </w:r>
      <w:r w:rsidR="00E96F33">
        <w:t>/ signs</w:t>
      </w:r>
      <w:r>
        <w:t xml:space="preserve"> of </w:t>
      </w:r>
    </w:p>
    <w:p w14:paraId="2066E980" w14:textId="77777777" w:rsidR="00E96F33" w:rsidRDefault="0036514C" w:rsidP="00123A21">
      <w:pPr>
        <w:pStyle w:val="ListParagraph"/>
        <w:numPr>
          <w:ilvl w:val="0"/>
          <w:numId w:val="10"/>
        </w:numPr>
        <w:jc w:val="both"/>
      </w:pPr>
      <w:r>
        <w:t xml:space="preserve">obstructive sleep apnoea (snoring with pauses at night, morning headaches, daytime somnolence), </w:t>
      </w:r>
    </w:p>
    <w:p w14:paraId="165B2BB6" w14:textId="271893CA" w:rsidR="0036514C" w:rsidRDefault="00E96F33" w:rsidP="00123A21">
      <w:pPr>
        <w:pStyle w:val="ListParagraph"/>
        <w:numPr>
          <w:ilvl w:val="0"/>
          <w:numId w:val="10"/>
        </w:numPr>
        <w:jc w:val="both"/>
      </w:pPr>
      <w:r>
        <w:t>type 2 diabetes (polyuria, polydipsia, acanthosis nigricans)</w:t>
      </w:r>
    </w:p>
    <w:p w14:paraId="74EA8060" w14:textId="6E00F33F" w:rsidR="00E96F33" w:rsidRDefault="00E96F33" w:rsidP="00123A21">
      <w:pPr>
        <w:pStyle w:val="ListParagraph"/>
        <w:numPr>
          <w:ilvl w:val="0"/>
          <w:numId w:val="10"/>
        </w:numPr>
        <w:jc w:val="both"/>
      </w:pPr>
      <w:r>
        <w:t>hypertension (BP &gt;90</w:t>
      </w:r>
      <w:r w:rsidRPr="00E96F33">
        <w:rPr>
          <w:vertAlign w:val="superscript"/>
        </w:rPr>
        <w:t>th</w:t>
      </w:r>
      <w:r>
        <w:t xml:space="preserve"> centile for age and height)</w:t>
      </w:r>
    </w:p>
    <w:p w14:paraId="3D2B0A8C" w14:textId="1BB7FFCA" w:rsidR="00E96F33" w:rsidRDefault="00E96F33" w:rsidP="00123A21">
      <w:pPr>
        <w:pStyle w:val="ListParagraph"/>
        <w:numPr>
          <w:ilvl w:val="0"/>
          <w:numId w:val="10"/>
        </w:numPr>
        <w:jc w:val="both"/>
      </w:pPr>
      <w:r>
        <w:t>non-alcoholic fatty liver disease (raised ALT on bloods)</w:t>
      </w:r>
    </w:p>
    <w:p w14:paraId="7CDCB568" w14:textId="151FAF2B" w:rsidR="00E96F33" w:rsidRDefault="00E96F33" w:rsidP="00123A21">
      <w:pPr>
        <w:pStyle w:val="ListParagraph"/>
        <w:numPr>
          <w:ilvl w:val="0"/>
          <w:numId w:val="10"/>
        </w:numPr>
        <w:jc w:val="both"/>
      </w:pPr>
      <w:r>
        <w:t>mobility problems including Perthes (hip pain and limp)</w:t>
      </w:r>
    </w:p>
    <w:p w14:paraId="7B8FC847" w14:textId="0654503C" w:rsidR="00E96F33" w:rsidRPr="0036514C" w:rsidRDefault="00E96F33" w:rsidP="00123A21">
      <w:pPr>
        <w:pStyle w:val="ListParagraph"/>
        <w:numPr>
          <w:ilvl w:val="0"/>
          <w:numId w:val="10"/>
        </w:numPr>
        <w:jc w:val="both"/>
      </w:pPr>
      <w:r>
        <w:t>psychological difficulties related to weight (bullying, anxiety, low mood) if significant concerns (including worry about binge eating disorders) please also refer to CAHMS</w:t>
      </w:r>
    </w:p>
    <w:p w14:paraId="0EC439EA" w14:textId="465DA41D" w:rsidR="00464BC5" w:rsidRDefault="008150CD" w:rsidP="00123A21">
      <w:pPr>
        <w:jc w:val="both"/>
        <w:rPr>
          <w:color w:val="548DD4" w:themeColor="text2" w:themeTint="99"/>
        </w:rPr>
      </w:pPr>
      <w:r>
        <w:rPr>
          <w:color w:val="548DD4" w:themeColor="text2" w:themeTint="99"/>
        </w:rPr>
        <w:t>Family history</w:t>
      </w:r>
    </w:p>
    <w:p w14:paraId="116DD06B" w14:textId="73154D5A" w:rsidR="003B0DAE" w:rsidRPr="003B0DAE" w:rsidRDefault="003B0DAE" w:rsidP="00123A21">
      <w:pPr>
        <w:jc w:val="both"/>
      </w:pPr>
      <w:r>
        <w:t>Is there a family history of type 2 diabetes, cardiovascular disease in people under 60 or difficulties with weight management (</w:t>
      </w:r>
      <w:r w:rsidR="0035695D">
        <w:t>obesity/ eating disorders?)</w:t>
      </w:r>
    </w:p>
    <w:p w14:paraId="09E9EC7C" w14:textId="1345717B" w:rsidR="008150CD" w:rsidRDefault="008150CD" w:rsidP="00123A21">
      <w:pPr>
        <w:jc w:val="both"/>
        <w:rPr>
          <w:color w:val="548DD4" w:themeColor="text2" w:themeTint="99"/>
        </w:rPr>
      </w:pPr>
      <w:r>
        <w:rPr>
          <w:color w:val="548DD4" w:themeColor="text2" w:themeTint="99"/>
        </w:rPr>
        <w:t>Social/ educational history</w:t>
      </w:r>
    </w:p>
    <w:p w14:paraId="1AA3C22B" w14:textId="57E107FB" w:rsidR="00A33946" w:rsidRDefault="0036514C" w:rsidP="00123A21">
      <w:pPr>
        <w:jc w:val="both"/>
      </w:pPr>
      <w:r>
        <w:lastRenderedPageBreak/>
        <w:t>Please include details on f</w:t>
      </w:r>
      <w:r w:rsidR="0035695D">
        <w:t>amily structure –</w:t>
      </w:r>
      <w:r>
        <w:t xml:space="preserve"> is there</w:t>
      </w:r>
      <w:r w:rsidR="0035695D">
        <w:t xml:space="preserve"> adequate support and supervision of eating at home? </w:t>
      </w:r>
      <w:r>
        <w:t>Are there f</w:t>
      </w:r>
      <w:r w:rsidR="0035695D">
        <w:t>inancial difficulties impacting food shopping?</w:t>
      </w:r>
      <w:r>
        <w:t xml:space="preserve"> Are the family </w:t>
      </w:r>
      <w:r w:rsidR="0035695D">
        <w:t>support</w:t>
      </w:r>
      <w:r>
        <w:t>ed</w:t>
      </w:r>
      <w:r w:rsidR="0035695D">
        <w:t xml:space="preserve"> </w:t>
      </w:r>
      <w:r>
        <w:t>by</w:t>
      </w:r>
      <w:r w:rsidR="0035695D">
        <w:t xml:space="preserve"> social care</w:t>
      </w:r>
      <w:r>
        <w:t>? Is</w:t>
      </w:r>
      <w:r w:rsidR="0035695D">
        <w:t xml:space="preserve"> attendance at school</w:t>
      </w:r>
      <w:r>
        <w:t xml:space="preserve"> good? Do the child or parents have</w:t>
      </w:r>
      <w:r w:rsidR="0035695D">
        <w:t xml:space="preserve"> learning difficulties</w:t>
      </w:r>
      <w:r>
        <w:t>?</w:t>
      </w:r>
    </w:p>
    <w:p w14:paraId="1E9B3F6D" w14:textId="6EFC198C" w:rsidR="00A33946" w:rsidRPr="0035695D" w:rsidRDefault="00A33946" w:rsidP="00123A21">
      <w:pPr>
        <w:jc w:val="both"/>
      </w:pPr>
      <w:r>
        <w:t>Be aware that significant obesity is an indicator of neglect</w:t>
      </w:r>
      <w:r w:rsidR="0036514C">
        <w:t>.</w:t>
      </w:r>
    </w:p>
    <w:p w14:paraId="41C8A3CC" w14:textId="2200C383" w:rsidR="008150CD" w:rsidRDefault="008150CD" w:rsidP="00123A21">
      <w:pPr>
        <w:jc w:val="both"/>
        <w:rPr>
          <w:color w:val="548DD4" w:themeColor="text2" w:themeTint="99"/>
        </w:rPr>
      </w:pPr>
      <w:r>
        <w:rPr>
          <w:color w:val="548DD4" w:themeColor="text2" w:themeTint="99"/>
        </w:rPr>
        <w:t>Examination findings</w:t>
      </w:r>
    </w:p>
    <w:p w14:paraId="12593655" w14:textId="313F90CB" w:rsidR="008150CD" w:rsidRDefault="008150CD" w:rsidP="00123A21">
      <w:pPr>
        <w:jc w:val="both"/>
      </w:pPr>
      <w:r>
        <w:t xml:space="preserve">Check for goitre, </w:t>
      </w:r>
      <w:proofErr w:type="spellStart"/>
      <w:r>
        <w:t>straie</w:t>
      </w:r>
      <w:proofErr w:type="spellEnd"/>
      <w:r>
        <w:t>, acanthosis nigricans and measure BP. Note any syndromic features.</w:t>
      </w:r>
    </w:p>
    <w:p w14:paraId="771570E2" w14:textId="2A05C64F" w:rsidR="008150CD" w:rsidRDefault="008150CD" w:rsidP="00123A21">
      <w:pPr>
        <w:jc w:val="both"/>
      </w:pPr>
      <w:r>
        <w:t>The Paediatric Blood Pressure app (</w:t>
      </w:r>
      <w:r w:rsidR="0036514C">
        <w:t>picture below)</w:t>
      </w:r>
      <w:r>
        <w:t xml:space="preserve"> is a simple very useful tool that allows you to check blood pressure centiles for age and height. Blood pressure centile &gt;90</w:t>
      </w:r>
      <w:r w:rsidRPr="008150CD">
        <w:rPr>
          <w:vertAlign w:val="superscript"/>
        </w:rPr>
        <w:t>th</w:t>
      </w:r>
      <w:r>
        <w:t xml:space="preserve"> requires further review by a paediatrician.</w:t>
      </w:r>
      <w:r w:rsidR="005945F6">
        <w:t xml:space="preserve"> Remember the correct paediatric size cuff is needed to measure blood pressure.</w:t>
      </w:r>
    </w:p>
    <w:p w14:paraId="6A087340" w14:textId="79E87731" w:rsidR="0036514C" w:rsidRPr="008150CD" w:rsidRDefault="0036514C" w:rsidP="00123A21">
      <w:pPr>
        <w:jc w:val="both"/>
      </w:pPr>
      <w:r>
        <w:rPr>
          <w:noProof/>
        </w:rPr>
        <w:drawing>
          <wp:inline distT="0" distB="0" distL="0" distR="0" wp14:anchorId="2A76FD3A" wp14:editId="7EDFED25">
            <wp:extent cx="2907365" cy="2451100"/>
            <wp:effectExtent l="0" t="0" r="762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991" cy="2461745"/>
                    </a:xfrm>
                    <a:prstGeom prst="rect">
                      <a:avLst/>
                    </a:prstGeom>
                    <a:noFill/>
                    <a:ln>
                      <a:noFill/>
                    </a:ln>
                  </pic:spPr>
                </pic:pic>
              </a:graphicData>
            </a:graphic>
          </wp:inline>
        </w:drawing>
      </w:r>
    </w:p>
    <w:p w14:paraId="383DBB6D" w14:textId="1A70E348" w:rsidR="008150CD" w:rsidRDefault="008150CD" w:rsidP="00123A21">
      <w:pPr>
        <w:jc w:val="both"/>
        <w:rPr>
          <w:color w:val="548DD4" w:themeColor="text2" w:themeTint="99"/>
        </w:rPr>
      </w:pPr>
      <w:r>
        <w:rPr>
          <w:color w:val="548DD4" w:themeColor="text2" w:themeTint="99"/>
        </w:rPr>
        <w:t>Baseline investigations</w:t>
      </w:r>
    </w:p>
    <w:p w14:paraId="2F12AA6F" w14:textId="6D8162BE" w:rsidR="008150CD" w:rsidRPr="008150CD" w:rsidRDefault="008150CD" w:rsidP="00123A21">
      <w:pPr>
        <w:jc w:val="both"/>
      </w:pPr>
      <w:r>
        <w:t>For children who have a BMI centile &gt;9</w:t>
      </w:r>
      <w:r w:rsidR="006629FB">
        <w:t>8</w:t>
      </w:r>
      <w:r>
        <w:t xml:space="preserve"> please arrange thyroid function tests and liver function tests prior to referral. This will allow children to be triaged more appropriately.</w:t>
      </w:r>
      <w:r w:rsidR="00F217D0">
        <w:t xml:space="preserve"> If there are symptoms of polyuria or </w:t>
      </w:r>
      <w:proofErr w:type="gramStart"/>
      <w:r w:rsidR="00F217D0">
        <w:t>polydipsia</w:t>
      </w:r>
      <w:proofErr w:type="gramEnd"/>
      <w:r w:rsidR="00F217D0">
        <w:t xml:space="preserve"> please check a </w:t>
      </w:r>
      <w:proofErr w:type="spellStart"/>
      <w:r w:rsidR="00F217D0">
        <w:t>fingerprick</w:t>
      </w:r>
      <w:proofErr w:type="spellEnd"/>
      <w:r w:rsidR="00F217D0">
        <w:t xml:space="preserve"> blood sugar immediately and discuss with the paediatric diabetes team the same day if this is &gt;10mmol/l.</w:t>
      </w:r>
    </w:p>
    <w:p w14:paraId="0F55A01E" w14:textId="7090E110" w:rsidR="00464BC5" w:rsidRDefault="00464BC5" w:rsidP="00123A21">
      <w:pPr>
        <w:jc w:val="both"/>
        <w:rPr>
          <w:color w:val="548DD4" w:themeColor="text2" w:themeTint="99"/>
        </w:rPr>
      </w:pPr>
      <w:r>
        <w:rPr>
          <w:color w:val="548DD4" w:themeColor="text2" w:themeTint="99"/>
        </w:rPr>
        <w:t>Re</w:t>
      </w:r>
      <w:r w:rsidR="00F217D0">
        <w:rPr>
          <w:color w:val="548DD4" w:themeColor="text2" w:themeTint="99"/>
        </w:rPr>
        <w:t>d</w:t>
      </w:r>
      <w:r>
        <w:rPr>
          <w:color w:val="548DD4" w:themeColor="text2" w:themeTint="99"/>
        </w:rPr>
        <w:t xml:space="preserve"> flags that </w:t>
      </w:r>
      <w:r w:rsidR="008150CD">
        <w:rPr>
          <w:color w:val="548DD4" w:themeColor="text2" w:themeTint="99"/>
        </w:rPr>
        <w:t xml:space="preserve">mean you should consider </w:t>
      </w:r>
      <w:r w:rsidR="00F217D0">
        <w:rPr>
          <w:color w:val="548DD4" w:themeColor="text2" w:themeTint="99"/>
        </w:rPr>
        <w:t xml:space="preserve">referral </w:t>
      </w:r>
      <w:r w:rsidR="008150CD">
        <w:rPr>
          <w:color w:val="548DD4" w:themeColor="text2" w:themeTint="99"/>
        </w:rPr>
        <w:t>to secondary care:</w:t>
      </w:r>
    </w:p>
    <w:p w14:paraId="34B8098D" w14:textId="6D8876EC" w:rsidR="008150CD" w:rsidRDefault="00B14F61" w:rsidP="00123A21">
      <w:pPr>
        <w:pStyle w:val="ListParagraph"/>
        <w:numPr>
          <w:ilvl w:val="0"/>
          <w:numId w:val="5"/>
        </w:numPr>
        <w:jc w:val="both"/>
        <w:rPr>
          <w:color w:val="548DD4" w:themeColor="text2" w:themeTint="99"/>
        </w:rPr>
      </w:pPr>
      <w:r>
        <w:rPr>
          <w:color w:val="548DD4" w:themeColor="text2" w:themeTint="99"/>
        </w:rPr>
        <w:t>Symptoms or signs of a comorbidity</w:t>
      </w:r>
      <w:r w:rsidR="008150CD">
        <w:rPr>
          <w:color w:val="548DD4" w:themeColor="text2" w:themeTint="99"/>
        </w:rPr>
        <w:t xml:space="preserve"> (symptoms of obstructive sleep apnoea, type 2 diabetes, abnormal liver function blood tests, hypertension</w:t>
      </w:r>
      <w:r w:rsidR="00F217D0">
        <w:rPr>
          <w:color w:val="548DD4" w:themeColor="text2" w:themeTint="99"/>
        </w:rPr>
        <w:t>, significant mental health difficulties related to obesity, mobility difficulties related to obesity)</w:t>
      </w:r>
    </w:p>
    <w:p w14:paraId="3F8401AF" w14:textId="692CD012" w:rsidR="00F217D0" w:rsidRDefault="00F217D0" w:rsidP="00123A21">
      <w:pPr>
        <w:pStyle w:val="ListParagraph"/>
        <w:numPr>
          <w:ilvl w:val="0"/>
          <w:numId w:val="5"/>
        </w:numPr>
        <w:jc w:val="both"/>
        <w:rPr>
          <w:color w:val="548DD4" w:themeColor="text2" w:themeTint="99"/>
        </w:rPr>
      </w:pPr>
      <w:r>
        <w:rPr>
          <w:color w:val="548DD4" w:themeColor="text2" w:themeTint="99"/>
        </w:rPr>
        <w:t>Iatrogenic cause of obesity such as high dose steroids or previous chemotherapy or radiotherapy treatment</w:t>
      </w:r>
    </w:p>
    <w:p w14:paraId="7737261E" w14:textId="01171109" w:rsidR="00F217D0" w:rsidRDefault="00F217D0" w:rsidP="00123A21">
      <w:pPr>
        <w:pStyle w:val="ListParagraph"/>
        <w:numPr>
          <w:ilvl w:val="0"/>
          <w:numId w:val="5"/>
        </w:numPr>
        <w:jc w:val="both"/>
        <w:rPr>
          <w:color w:val="548DD4" w:themeColor="text2" w:themeTint="99"/>
        </w:rPr>
      </w:pPr>
      <w:r>
        <w:rPr>
          <w:color w:val="548DD4" w:themeColor="text2" w:themeTint="99"/>
        </w:rPr>
        <w:t xml:space="preserve">Syndromic features (including deafness, visual problems, renal </w:t>
      </w:r>
      <w:proofErr w:type="gramStart"/>
      <w:r>
        <w:rPr>
          <w:color w:val="548DD4" w:themeColor="text2" w:themeTint="99"/>
        </w:rPr>
        <w:t>problems</w:t>
      </w:r>
      <w:proofErr w:type="gramEnd"/>
      <w:r>
        <w:rPr>
          <w:color w:val="548DD4" w:themeColor="text2" w:themeTint="99"/>
        </w:rPr>
        <w:t xml:space="preserve"> and developmental delay)</w:t>
      </w:r>
    </w:p>
    <w:p w14:paraId="6CF5413C" w14:textId="7B3E4807" w:rsidR="00F217D0" w:rsidRPr="00936664" w:rsidRDefault="00F217D0" w:rsidP="00123A21">
      <w:pPr>
        <w:pStyle w:val="ListParagraph"/>
        <w:numPr>
          <w:ilvl w:val="0"/>
          <w:numId w:val="5"/>
        </w:numPr>
        <w:jc w:val="both"/>
        <w:rPr>
          <w:color w:val="548DD4" w:themeColor="text2" w:themeTint="99"/>
        </w:rPr>
      </w:pPr>
      <w:r>
        <w:rPr>
          <w:color w:val="548DD4" w:themeColor="text2" w:themeTint="99"/>
        </w:rPr>
        <w:t xml:space="preserve">Concerns about an endocrine cause of obesity – abnormal thyroid function bloods, </w:t>
      </w:r>
      <w:r w:rsidR="00A64CD7">
        <w:rPr>
          <w:color w:val="548DD4" w:themeColor="text2" w:themeTint="99"/>
        </w:rPr>
        <w:t>short stature (lower half of parental target centiles or below) or poor growth velocity</w:t>
      </w:r>
    </w:p>
    <w:p w14:paraId="6436A169" w14:textId="11FE2BF2" w:rsidR="00936664" w:rsidRDefault="00936664" w:rsidP="00123A21">
      <w:pPr>
        <w:jc w:val="both"/>
        <w:rPr>
          <w:b/>
          <w:bCs/>
          <w:color w:val="548DD4" w:themeColor="text2" w:themeTint="99"/>
          <w:sz w:val="32"/>
          <w:szCs w:val="32"/>
        </w:rPr>
      </w:pPr>
      <w:r w:rsidRPr="00936664">
        <w:rPr>
          <w:b/>
          <w:bCs/>
          <w:color w:val="548DD4" w:themeColor="text2" w:themeTint="99"/>
          <w:sz w:val="32"/>
          <w:szCs w:val="32"/>
        </w:rPr>
        <w:t>Primary Care</w:t>
      </w:r>
      <w:r>
        <w:rPr>
          <w:b/>
          <w:bCs/>
          <w:color w:val="548DD4" w:themeColor="text2" w:themeTint="99"/>
          <w:sz w:val="32"/>
          <w:szCs w:val="32"/>
        </w:rPr>
        <w:t xml:space="preserve"> weight management a</w:t>
      </w:r>
      <w:r w:rsidRPr="00936664">
        <w:rPr>
          <w:b/>
          <w:bCs/>
          <w:color w:val="548DD4" w:themeColor="text2" w:themeTint="99"/>
          <w:sz w:val="32"/>
          <w:szCs w:val="32"/>
        </w:rPr>
        <w:t>dvice</w:t>
      </w:r>
    </w:p>
    <w:p w14:paraId="00ED3E75" w14:textId="65225F58" w:rsidR="00E96F33" w:rsidRDefault="00936664" w:rsidP="00123A21">
      <w:pPr>
        <w:jc w:val="both"/>
      </w:pPr>
      <w:r w:rsidRPr="00936664">
        <w:lastRenderedPageBreak/>
        <w:t>Children who are overweight</w:t>
      </w:r>
      <w:r>
        <w:t xml:space="preserve"> or obese should be referred to the Public Health Nurses or Health Visitors as part of the Universal Plus or ECHO programme where they will be offered 3-6 structured sessions o</w:t>
      </w:r>
      <w:r w:rsidR="00464BC5">
        <w:t>f support and education around healthy eating and lifestyle.</w:t>
      </w:r>
    </w:p>
    <w:p w14:paraId="7C1921AF" w14:textId="1A14845F" w:rsidR="00AE4FAE" w:rsidRDefault="00AE4FAE" w:rsidP="00123A21">
      <w:pPr>
        <w:jc w:val="both"/>
      </w:pPr>
      <w:r>
        <w:t>For school aged children (aged 5 years and above) refer to public health nurses:</w:t>
      </w:r>
    </w:p>
    <w:p w14:paraId="664EA998" w14:textId="7D5F0DCA" w:rsidR="00AE4FAE" w:rsidRDefault="004C1F4B" w:rsidP="00123A21">
      <w:pPr>
        <w:jc w:val="both"/>
      </w:pPr>
      <w:hyperlink r:id="rId9" w:history="1">
        <w:r w:rsidR="00AE4FAE">
          <w:rPr>
            <w:rStyle w:val="Hyperlink"/>
          </w:rPr>
          <w:t>SNHS.Publichealthnursingsouthampton@nhs.net</w:t>
        </w:r>
      </w:hyperlink>
    </w:p>
    <w:p w14:paraId="42A0EA48" w14:textId="7CF8194F" w:rsidR="00AE4FAE" w:rsidRDefault="00AE4FAE" w:rsidP="00123A21">
      <w:pPr>
        <w:jc w:val="both"/>
      </w:pPr>
      <w:r>
        <w:t>For children aged 5 years and under contact:</w:t>
      </w:r>
    </w:p>
    <w:p w14:paraId="3AE40C46" w14:textId="0FCA363E" w:rsidR="00AE4FAE" w:rsidRDefault="004C1F4B" w:rsidP="00123A21">
      <w:pPr>
        <w:jc w:val="both"/>
      </w:pPr>
      <w:hyperlink r:id="rId10" w:history="1">
        <w:r w:rsidR="00AE4FAE">
          <w:rPr>
            <w:rStyle w:val="Hyperlink"/>
          </w:rPr>
          <w:t>SNHS.healthvisitingsouthampton@nhs.net</w:t>
        </w:r>
      </w:hyperlink>
    </w:p>
    <w:p w14:paraId="5B8F9D92" w14:textId="77777777" w:rsidR="00AE4FAE" w:rsidRDefault="00AE4FAE" w:rsidP="00123A21">
      <w:pPr>
        <w:jc w:val="both"/>
      </w:pPr>
    </w:p>
    <w:p w14:paraId="02F81EEB" w14:textId="04A7F80F" w:rsidR="00464BC5" w:rsidRDefault="00464BC5" w:rsidP="00123A21">
      <w:pPr>
        <w:jc w:val="both"/>
      </w:pPr>
      <w:r w:rsidRPr="00464BC5">
        <w:rPr>
          <w:color w:val="548DD4" w:themeColor="text2" w:themeTint="99"/>
        </w:rPr>
        <w:t>Information that can be provided as GP – how to write an obesity prescription</w:t>
      </w:r>
    </w:p>
    <w:p w14:paraId="7204A195" w14:textId="001A0665" w:rsidR="00464BC5" w:rsidRDefault="00B77791" w:rsidP="00123A21">
      <w:pPr>
        <w:jc w:val="both"/>
      </w:pPr>
      <w:r>
        <w:t>Diet:</w:t>
      </w:r>
    </w:p>
    <w:p w14:paraId="3C1D5593" w14:textId="696F3C03" w:rsidR="00B77791" w:rsidRDefault="00B77791" w:rsidP="00123A21">
      <w:pPr>
        <w:jc w:val="both"/>
      </w:pPr>
      <w:r>
        <w:t>First steps to recommend</w:t>
      </w:r>
    </w:p>
    <w:p w14:paraId="6B5E3879" w14:textId="78EB89FD" w:rsidR="00B77791" w:rsidRDefault="00B77791" w:rsidP="00123A21">
      <w:pPr>
        <w:pStyle w:val="ListParagraph"/>
        <w:numPr>
          <w:ilvl w:val="0"/>
          <w:numId w:val="6"/>
        </w:numPr>
        <w:jc w:val="both"/>
      </w:pPr>
      <w:r>
        <w:t>All drinks should be switched to water, be particularly aware</w:t>
      </w:r>
      <w:r w:rsidR="00E96F33">
        <w:t xml:space="preserve"> to avoid</w:t>
      </w:r>
      <w:r>
        <w:t xml:space="preserve"> high sugar content of fizzy pop, </w:t>
      </w:r>
      <w:proofErr w:type="gramStart"/>
      <w:r>
        <w:t>milkshakes</w:t>
      </w:r>
      <w:proofErr w:type="gramEnd"/>
      <w:r>
        <w:t xml:space="preserve"> or smoothies</w:t>
      </w:r>
    </w:p>
    <w:p w14:paraId="0B503926" w14:textId="0D451978" w:rsidR="00B77791" w:rsidRDefault="00B77791" w:rsidP="00123A21">
      <w:pPr>
        <w:pStyle w:val="ListParagraph"/>
        <w:numPr>
          <w:ilvl w:val="0"/>
          <w:numId w:val="6"/>
        </w:numPr>
        <w:jc w:val="both"/>
      </w:pPr>
      <w:r>
        <w:t>Limit snacks</w:t>
      </w:r>
      <w:r w:rsidR="00E96F33">
        <w:t xml:space="preserve"> – if </w:t>
      </w:r>
      <w:proofErr w:type="gramStart"/>
      <w:r w:rsidR="00E96F33">
        <w:t>possible</w:t>
      </w:r>
      <w:proofErr w:type="gramEnd"/>
      <w:r w:rsidR="00E96F33">
        <w:t xml:space="preserve"> cut these out</w:t>
      </w:r>
      <w:r>
        <w:t xml:space="preserve">: they should have no more than 2 snacks of 100 calories each, ideally these should be a piece of whole fruit, </w:t>
      </w:r>
    </w:p>
    <w:p w14:paraId="436BF915" w14:textId="589AA24F" w:rsidR="00B77791" w:rsidRDefault="00B77791" w:rsidP="00123A21">
      <w:pPr>
        <w:pStyle w:val="ListParagraph"/>
        <w:numPr>
          <w:ilvl w:val="0"/>
          <w:numId w:val="6"/>
        </w:numPr>
        <w:jc w:val="both"/>
      </w:pPr>
      <w:r>
        <w:t>Be aware of high sugar breakfast cereals – consider swapping to lower glycaemic index foods such as porridge made from whole oats, Weetabix, wholegrain bread toast with eggs</w:t>
      </w:r>
    </w:p>
    <w:p w14:paraId="5FDBE353" w14:textId="74A32DE6" w:rsidR="007B22EE" w:rsidRDefault="007B22EE" w:rsidP="00123A21">
      <w:pPr>
        <w:pStyle w:val="ListParagraph"/>
        <w:numPr>
          <w:ilvl w:val="0"/>
          <w:numId w:val="6"/>
        </w:numPr>
        <w:jc w:val="both"/>
      </w:pPr>
      <w:r>
        <w:t xml:space="preserve">Encourage home cooked meals from scratch and avoiding processed food as much as possible. </w:t>
      </w:r>
    </w:p>
    <w:p w14:paraId="3324CF42" w14:textId="0E547ADA" w:rsidR="007B22EE" w:rsidRDefault="007B22EE" w:rsidP="00123A21">
      <w:pPr>
        <w:pStyle w:val="ListParagraph"/>
        <w:numPr>
          <w:ilvl w:val="0"/>
          <w:numId w:val="6"/>
        </w:numPr>
        <w:jc w:val="both"/>
      </w:pPr>
      <w:r>
        <w:t>The evening meal should consist of half the volume of the plate being salad or vegetables, one quarter being carbohydrate</w:t>
      </w:r>
      <w:r w:rsidR="00E96F33">
        <w:t xml:space="preserve"> (rice, pasta, potatoes, bread)</w:t>
      </w:r>
      <w:r>
        <w:t xml:space="preserve"> and one quarter being protein</w:t>
      </w:r>
      <w:r w:rsidR="00E96F33">
        <w:t xml:space="preserve"> (chicken, fish, meat, legumes)</w:t>
      </w:r>
      <w:r>
        <w:t>.</w:t>
      </w:r>
    </w:p>
    <w:p w14:paraId="21C42535" w14:textId="77777777" w:rsidR="00E96F33" w:rsidRDefault="007B22EE" w:rsidP="00123A21">
      <w:pPr>
        <w:pStyle w:val="ListParagraph"/>
        <w:numPr>
          <w:ilvl w:val="0"/>
          <w:numId w:val="6"/>
        </w:numPr>
        <w:jc w:val="both"/>
      </w:pPr>
      <w:r>
        <w:t xml:space="preserve">Encourage families to review portion sizes as these are frequently too large. Information above </w:t>
      </w:r>
      <w:proofErr w:type="gramStart"/>
      <w:r>
        <w:t>age appropriate</w:t>
      </w:r>
      <w:proofErr w:type="gramEnd"/>
      <w:r>
        <w:t xml:space="preserve"> portion sizes can be found</w:t>
      </w:r>
      <w:r w:rsidR="00E96F33">
        <w:t xml:space="preserve"> on the following websites</w:t>
      </w:r>
    </w:p>
    <w:p w14:paraId="2CF3F3B7" w14:textId="1C438F65" w:rsidR="00E96F33" w:rsidRDefault="00E96F33" w:rsidP="00123A21">
      <w:pPr>
        <w:pStyle w:val="ListParagraph"/>
        <w:numPr>
          <w:ilvl w:val="0"/>
          <w:numId w:val="11"/>
        </w:numPr>
        <w:jc w:val="both"/>
      </w:pPr>
      <w:r>
        <w:t xml:space="preserve">0 – 4 years </w:t>
      </w:r>
      <w:hyperlink r:id="rId11" w:history="1">
        <w:r w:rsidRPr="00067B59">
          <w:rPr>
            <w:rStyle w:val="Hyperlink"/>
          </w:rPr>
          <w:t>http://infantandtoddlerforum.org/toddlers-to-preschool/portion-sizes-for-toddlers/toddler-portion-sizes-table</w:t>
        </w:r>
      </w:hyperlink>
    </w:p>
    <w:p w14:paraId="66E0CC03" w14:textId="2059AEAB" w:rsidR="00E96F33" w:rsidRDefault="00E96F33" w:rsidP="00123A21">
      <w:pPr>
        <w:pStyle w:val="ListParagraph"/>
        <w:numPr>
          <w:ilvl w:val="0"/>
          <w:numId w:val="11"/>
        </w:numPr>
        <w:jc w:val="both"/>
      </w:pPr>
      <w:r>
        <w:t xml:space="preserve">Older children </w:t>
      </w:r>
      <w:hyperlink r:id="rId12" w:history="1">
        <w:r w:rsidR="00AE4FAE" w:rsidRPr="00507010">
          <w:rPr>
            <w:rStyle w:val="Hyperlink"/>
          </w:rPr>
          <w:t>http://www.bda.uk.com/resource/food-facts-portion-sizes.html</w:t>
        </w:r>
      </w:hyperlink>
    </w:p>
    <w:p w14:paraId="6D5B34A8" w14:textId="7672E3D6" w:rsidR="001A7CEB" w:rsidRDefault="00AE4FAE" w:rsidP="00123A21">
      <w:pPr>
        <w:pStyle w:val="ListParagraph"/>
        <w:numPr>
          <w:ilvl w:val="0"/>
          <w:numId w:val="11"/>
        </w:numPr>
        <w:jc w:val="both"/>
      </w:pPr>
      <w:r>
        <w:t xml:space="preserve">Please also see CHEW guides attached in </w:t>
      </w:r>
      <w:proofErr w:type="spellStart"/>
      <w:r>
        <w:t>appeddix</w:t>
      </w:r>
      <w:proofErr w:type="spellEnd"/>
    </w:p>
    <w:p w14:paraId="093B1731" w14:textId="08B543BA" w:rsidR="007B22EE" w:rsidRDefault="007B22EE" w:rsidP="00123A21">
      <w:pPr>
        <w:pStyle w:val="ListParagraph"/>
        <w:numPr>
          <w:ilvl w:val="0"/>
          <w:numId w:val="12"/>
        </w:numPr>
        <w:jc w:val="both"/>
      </w:pPr>
      <w:r>
        <w:t xml:space="preserve">Encourage a window of at least 12 hours overnight where no food is consumed to allow the body to burn fat. </w:t>
      </w:r>
    </w:p>
    <w:p w14:paraId="58CDF8E7" w14:textId="3896192D" w:rsidR="007B22EE" w:rsidRDefault="007B22EE" w:rsidP="00123A21">
      <w:pPr>
        <w:pStyle w:val="ListParagraph"/>
        <w:numPr>
          <w:ilvl w:val="0"/>
          <w:numId w:val="6"/>
        </w:numPr>
        <w:jc w:val="both"/>
      </w:pPr>
      <w:r>
        <w:t>The appendix below outlines average recommended calorie intake for children according to sex and age. In children who are very sedentary or who are aiming to lose weight reduce the calorie target by 20%.</w:t>
      </w:r>
    </w:p>
    <w:p w14:paraId="7150AD55" w14:textId="297712C3" w:rsidR="007B22EE" w:rsidRDefault="001A7CEB" w:rsidP="00123A21">
      <w:pPr>
        <w:pStyle w:val="ListParagraph"/>
        <w:numPr>
          <w:ilvl w:val="0"/>
          <w:numId w:val="6"/>
        </w:numPr>
        <w:jc w:val="both"/>
      </w:pPr>
      <w:r>
        <w:t>The free app MyFitnessPal can be useful for families who are interested in counting calories.</w:t>
      </w:r>
    </w:p>
    <w:p w14:paraId="29C59CB1" w14:textId="2841DA7F" w:rsidR="00B77791" w:rsidRDefault="00B77791" w:rsidP="00123A21">
      <w:pPr>
        <w:jc w:val="both"/>
      </w:pPr>
      <w:r>
        <w:t>Activity:</w:t>
      </w:r>
    </w:p>
    <w:p w14:paraId="016813C2" w14:textId="25FA0B6C" w:rsidR="00B77791" w:rsidRDefault="00B77791" w:rsidP="00123A21">
      <w:pPr>
        <w:pStyle w:val="ListParagraph"/>
        <w:numPr>
          <w:ilvl w:val="0"/>
          <w:numId w:val="7"/>
        </w:numPr>
        <w:jc w:val="both"/>
      </w:pPr>
      <w:r>
        <w:t>Children of pre-school age should take part in 3 hours of active play per day. This can include running in the garden, going to the park, walking, climbing, building dens at home etc</w:t>
      </w:r>
    </w:p>
    <w:p w14:paraId="0494EA55" w14:textId="2B8BC115" w:rsidR="00B77791" w:rsidRDefault="00B77791" w:rsidP="00123A21">
      <w:pPr>
        <w:pStyle w:val="ListParagraph"/>
        <w:numPr>
          <w:ilvl w:val="0"/>
          <w:numId w:val="7"/>
        </w:numPr>
        <w:jc w:val="both"/>
      </w:pPr>
      <w:r>
        <w:lastRenderedPageBreak/>
        <w:t>Children of school age should take part in 60 minutes of moderate to vigorous exercise per day. This would include brisk walking, jogging, cycling, trampolining, swimming, playing football or dancing to music.</w:t>
      </w:r>
      <w:r w:rsidR="007B22EE">
        <w:t xml:space="preserve"> This is equivalent to 10,000 steps per day. Recommend the use of an activity tracker.</w:t>
      </w:r>
    </w:p>
    <w:p w14:paraId="4FB15996" w14:textId="565FC9FD" w:rsidR="001A7CEB" w:rsidRDefault="001A7CEB" w:rsidP="00123A21">
      <w:pPr>
        <w:jc w:val="both"/>
        <w:rPr>
          <w:b/>
          <w:bCs/>
          <w:color w:val="548DD4" w:themeColor="text2" w:themeTint="99"/>
          <w:sz w:val="32"/>
          <w:szCs w:val="32"/>
        </w:rPr>
      </w:pPr>
      <w:r w:rsidRPr="001A7CEB">
        <w:rPr>
          <w:b/>
          <w:bCs/>
          <w:color w:val="548DD4" w:themeColor="text2" w:themeTint="99"/>
          <w:sz w:val="32"/>
          <w:szCs w:val="32"/>
        </w:rPr>
        <w:t>Referral to secondary or tertiary care via the centralised weight management referral template (see appendix)</w:t>
      </w:r>
    </w:p>
    <w:p w14:paraId="33D4CF0B" w14:textId="56CE79D2" w:rsidR="001A7CEB" w:rsidRDefault="001A7CEB" w:rsidP="00123A21">
      <w:pPr>
        <w:jc w:val="both"/>
        <w:rPr>
          <w:color w:val="548DD4" w:themeColor="text2" w:themeTint="99"/>
        </w:rPr>
      </w:pPr>
      <w:r>
        <w:rPr>
          <w:color w:val="548DD4" w:themeColor="text2" w:themeTint="99"/>
        </w:rPr>
        <w:t>The following children should be referred</w:t>
      </w:r>
      <w:r w:rsidR="00B14F61">
        <w:rPr>
          <w:color w:val="548DD4" w:themeColor="text2" w:themeTint="99"/>
        </w:rPr>
        <w:t xml:space="preserve"> for </w:t>
      </w:r>
      <w:proofErr w:type="gramStart"/>
      <w:r w:rsidR="00B14F61">
        <w:rPr>
          <w:color w:val="548DD4" w:themeColor="text2" w:themeTint="99"/>
        </w:rPr>
        <w:t>hospital based</w:t>
      </w:r>
      <w:proofErr w:type="gramEnd"/>
      <w:r w:rsidR="00B14F61">
        <w:rPr>
          <w:color w:val="548DD4" w:themeColor="text2" w:themeTint="99"/>
        </w:rPr>
        <w:t xml:space="preserve"> care:</w:t>
      </w:r>
    </w:p>
    <w:p w14:paraId="036BC09D" w14:textId="77777777" w:rsidR="00B14F61" w:rsidRDefault="00B14F61" w:rsidP="00123A21">
      <w:pPr>
        <w:pStyle w:val="ListParagraph"/>
        <w:numPr>
          <w:ilvl w:val="0"/>
          <w:numId w:val="12"/>
        </w:numPr>
        <w:jc w:val="both"/>
        <w:rPr>
          <w:color w:val="548DD4" w:themeColor="text2" w:themeTint="99"/>
        </w:rPr>
      </w:pPr>
      <w:r>
        <w:rPr>
          <w:color w:val="548DD4" w:themeColor="text2" w:themeTint="99"/>
        </w:rPr>
        <w:t>BMI centile &gt;99.6 (once they have completed the public health nurse programme)</w:t>
      </w:r>
    </w:p>
    <w:p w14:paraId="57C8FEC8" w14:textId="77777777" w:rsidR="00B14F61" w:rsidRDefault="00B14F61" w:rsidP="00123A21">
      <w:pPr>
        <w:pStyle w:val="ListParagraph"/>
        <w:numPr>
          <w:ilvl w:val="0"/>
          <w:numId w:val="12"/>
        </w:numPr>
        <w:jc w:val="both"/>
        <w:rPr>
          <w:color w:val="548DD4" w:themeColor="text2" w:themeTint="99"/>
        </w:rPr>
      </w:pPr>
      <w:r>
        <w:rPr>
          <w:color w:val="548DD4" w:themeColor="text2" w:themeTint="99"/>
        </w:rPr>
        <w:t xml:space="preserve">BMI centile &gt;98 </w:t>
      </w:r>
      <w:r w:rsidRPr="00B14F61">
        <w:rPr>
          <w:color w:val="548DD4" w:themeColor="text2" w:themeTint="99"/>
          <w:u w:val="single"/>
        </w:rPr>
        <w:t xml:space="preserve">plus </w:t>
      </w:r>
      <w:r>
        <w:rPr>
          <w:color w:val="548DD4" w:themeColor="text2" w:themeTint="99"/>
        </w:rPr>
        <w:t>symptoms of co-morbidity (symptoms of obstructive sleep apnoea, type 2 diabetes, abnormal liver function blood tests, hypertension, significant mental health difficulties related to obesity, mobility difficulties related to obesity)</w:t>
      </w:r>
    </w:p>
    <w:p w14:paraId="54E31DE4" w14:textId="77777777" w:rsidR="00B14F61" w:rsidRDefault="00B14F61" w:rsidP="00123A21">
      <w:pPr>
        <w:pStyle w:val="ListParagraph"/>
        <w:numPr>
          <w:ilvl w:val="0"/>
          <w:numId w:val="12"/>
        </w:numPr>
        <w:jc w:val="both"/>
        <w:rPr>
          <w:color w:val="548DD4" w:themeColor="text2" w:themeTint="99"/>
        </w:rPr>
      </w:pPr>
      <w:r>
        <w:rPr>
          <w:color w:val="548DD4" w:themeColor="text2" w:themeTint="99"/>
        </w:rPr>
        <w:t>Iatrogenic cause of obesity such as high dose steroids or previous chemotherapy or radiotherapy treatment</w:t>
      </w:r>
    </w:p>
    <w:p w14:paraId="27FE8880" w14:textId="77777777" w:rsidR="00B14F61" w:rsidRDefault="00B14F61" w:rsidP="00123A21">
      <w:pPr>
        <w:pStyle w:val="ListParagraph"/>
        <w:numPr>
          <w:ilvl w:val="0"/>
          <w:numId w:val="12"/>
        </w:numPr>
        <w:jc w:val="both"/>
        <w:rPr>
          <w:color w:val="548DD4" w:themeColor="text2" w:themeTint="99"/>
        </w:rPr>
      </w:pPr>
      <w:r>
        <w:rPr>
          <w:color w:val="548DD4" w:themeColor="text2" w:themeTint="99"/>
        </w:rPr>
        <w:t xml:space="preserve">Syndromic features (including deafness, visual problems, renal </w:t>
      </w:r>
      <w:proofErr w:type="gramStart"/>
      <w:r>
        <w:rPr>
          <w:color w:val="548DD4" w:themeColor="text2" w:themeTint="99"/>
        </w:rPr>
        <w:t>problems</w:t>
      </w:r>
      <w:proofErr w:type="gramEnd"/>
      <w:r>
        <w:rPr>
          <w:color w:val="548DD4" w:themeColor="text2" w:themeTint="99"/>
        </w:rPr>
        <w:t xml:space="preserve"> and developmental delay)</w:t>
      </w:r>
    </w:p>
    <w:p w14:paraId="6AC753B7" w14:textId="792BD37E" w:rsidR="00B14F61" w:rsidRDefault="00B14F61" w:rsidP="00123A21">
      <w:pPr>
        <w:pStyle w:val="ListParagraph"/>
        <w:numPr>
          <w:ilvl w:val="0"/>
          <w:numId w:val="12"/>
        </w:numPr>
        <w:jc w:val="both"/>
        <w:rPr>
          <w:color w:val="548DD4" w:themeColor="text2" w:themeTint="99"/>
        </w:rPr>
      </w:pPr>
      <w:r>
        <w:rPr>
          <w:color w:val="548DD4" w:themeColor="text2" w:themeTint="99"/>
        </w:rPr>
        <w:t>Concerns about an endocrine cause of obesity – abnormal thyroid function bloods, short stature (lower half of parental target centiles or below) or poor growth velocity</w:t>
      </w:r>
    </w:p>
    <w:p w14:paraId="215D9005" w14:textId="4CB035EF" w:rsidR="00B14F61" w:rsidRPr="00936664" w:rsidRDefault="00B14F61" w:rsidP="00123A21">
      <w:pPr>
        <w:pStyle w:val="ListParagraph"/>
        <w:numPr>
          <w:ilvl w:val="0"/>
          <w:numId w:val="12"/>
        </w:numPr>
        <w:jc w:val="both"/>
        <w:rPr>
          <w:color w:val="548DD4" w:themeColor="text2" w:themeTint="99"/>
        </w:rPr>
      </w:pPr>
      <w:r>
        <w:rPr>
          <w:color w:val="548DD4" w:themeColor="text2" w:themeTint="99"/>
        </w:rPr>
        <w:t>Children who are severely obese (BMI standard deviation score or &gt;3 who are carrying more than 50% excess weight should be referred to the tertiary obesity service if there are concerns regarding poor engagement of family or neglect. These patients may be referred once offered the public health nurse program if this does not result in improvement of BMI or if the family refuse to engage).</w:t>
      </w:r>
    </w:p>
    <w:p w14:paraId="6B566E1D" w14:textId="77777777" w:rsidR="001A7CEB" w:rsidRPr="001A7CEB" w:rsidRDefault="001A7CEB" w:rsidP="00123A21">
      <w:pPr>
        <w:pStyle w:val="ListParagraph"/>
        <w:jc w:val="both"/>
        <w:rPr>
          <w:color w:val="548DD4" w:themeColor="text2" w:themeTint="99"/>
        </w:rPr>
      </w:pPr>
    </w:p>
    <w:p w14:paraId="1245EDFF" w14:textId="6526BA6B" w:rsidR="006C07E0" w:rsidRDefault="006C07E0" w:rsidP="00123A21">
      <w:pPr>
        <w:jc w:val="both"/>
      </w:pPr>
      <w:r>
        <w:t xml:space="preserve">Further information is available on the PIER guideline for obesity which is available on the internet. </w:t>
      </w:r>
      <w:hyperlink r:id="rId13" w:history="1">
        <w:r w:rsidR="00B14F61" w:rsidRPr="00067B59">
          <w:rPr>
            <w:rStyle w:val="Hyperlink"/>
          </w:rPr>
          <w:t>https://piernetwork.org/obesity/html</w:t>
        </w:r>
      </w:hyperlink>
      <w:r>
        <w:t>.</w:t>
      </w:r>
    </w:p>
    <w:p w14:paraId="48F013D1" w14:textId="19175DFE" w:rsidR="00B14F61" w:rsidRDefault="00B14F61" w:rsidP="00123A21">
      <w:pPr>
        <w:jc w:val="both"/>
      </w:pPr>
      <w:r>
        <w:t xml:space="preserve">Further training is available for health professional via </w:t>
      </w:r>
      <w:r w:rsidR="00FB10CD">
        <w:t>the Southampton Hospital</w:t>
      </w:r>
      <w:r>
        <w:t xml:space="preserve"> online learning </w:t>
      </w:r>
      <w:r w:rsidR="00FB10CD">
        <w:t>system</w:t>
      </w:r>
      <w:r>
        <w:t xml:space="preserve">– please email </w:t>
      </w:r>
      <w:hyperlink r:id="rId14" w:history="1">
        <w:r w:rsidR="00EB3D2F" w:rsidRPr="00F42E14">
          <w:rPr>
            <w:rStyle w:val="Hyperlink"/>
          </w:rPr>
          <w:t>uhs.weightmanagementteam@nhs.net</w:t>
        </w:r>
      </w:hyperlink>
      <w:r w:rsidR="00EB3D2F">
        <w:t xml:space="preserve"> </w:t>
      </w:r>
      <w:r>
        <w:t>if you would like access to this.</w:t>
      </w:r>
    </w:p>
    <w:p w14:paraId="0D1D7AD0" w14:textId="0B5B49C3" w:rsidR="00B14F61" w:rsidRDefault="005945F6" w:rsidP="00123A21">
      <w:pPr>
        <w:jc w:val="both"/>
      </w:pPr>
      <w:r>
        <w:t>WHO growth charts can be found here:</w:t>
      </w:r>
    </w:p>
    <w:p w14:paraId="48296A32" w14:textId="033CAA3E" w:rsidR="005945F6" w:rsidRDefault="004C1F4B" w:rsidP="00123A21">
      <w:pPr>
        <w:pStyle w:val="ListParagraph"/>
        <w:numPr>
          <w:ilvl w:val="0"/>
          <w:numId w:val="13"/>
        </w:numPr>
        <w:jc w:val="both"/>
      </w:pPr>
      <w:hyperlink r:id="rId15" w:history="1">
        <w:r w:rsidR="005945F6" w:rsidRPr="00067B59">
          <w:rPr>
            <w:rStyle w:val="Hyperlink"/>
          </w:rPr>
          <w:t>www.rcpch.ac.uk/sites/default/files/Boys_2-18_years_growth_chart.pdf</w:t>
        </w:r>
      </w:hyperlink>
    </w:p>
    <w:p w14:paraId="7ADAF289" w14:textId="51995B8A" w:rsidR="005945F6" w:rsidRDefault="004C1F4B" w:rsidP="00123A21">
      <w:pPr>
        <w:pStyle w:val="ListParagraph"/>
        <w:numPr>
          <w:ilvl w:val="0"/>
          <w:numId w:val="13"/>
        </w:numPr>
        <w:jc w:val="both"/>
      </w:pPr>
      <w:hyperlink r:id="rId16" w:history="1">
        <w:r w:rsidR="005945F6" w:rsidRPr="00067B59">
          <w:rPr>
            <w:rStyle w:val="Hyperlink"/>
          </w:rPr>
          <w:t>www.rcpch.ac.uk/sites/default/files/Girls_2-18_years_growth_chart.pdf</w:t>
        </w:r>
      </w:hyperlink>
    </w:p>
    <w:p w14:paraId="5F99DFD7" w14:textId="77777777" w:rsidR="005945F6" w:rsidRDefault="005945F6" w:rsidP="005945F6">
      <w:pPr>
        <w:pStyle w:val="ListParagraph"/>
      </w:pPr>
    </w:p>
    <w:p w14:paraId="309CC57A" w14:textId="3CC061D8" w:rsidR="00B12541" w:rsidRDefault="00B12541" w:rsidP="00B12541"/>
    <w:p w14:paraId="44E8188C" w14:textId="0F7C9682" w:rsidR="000E43F2" w:rsidRDefault="007B22EE" w:rsidP="000E43F2">
      <w:pPr>
        <w:rPr>
          <w:b/>
          <w:bCs/>
          <w:color w:val="548DD4" w:themeColor="text2" w:themeTint="99"/>
          <w:sz w:val="32"/>
          <w:szCs w:val="32"/>
        </w:rPr>
      </w:pPr>
      <w:r w:rsidRPr="00A24D7F">
        <w:rPr>
          <w:b/>
          <w:bCs/>
          <w:color w:val="548DD4" w:themeColor="text2" w:themeTint="99"/>
          <w:sz w:val="32"/>
          <w:szCs w:val="32"/>
        </w:rPr>
        <w:t>Appendi</w:t>
      </w:r>
      <w:r w:rsidR="000E43F2">
        <w:rPr>
          <w:b/>
          <w:bCs/>
          <w:color w:val="548DD4" w:themeColor="text2" w:themeTint="99"/>
          <w:sz w:val="32"/>
          <w:szCs w:val="32"/>
        </w:rPr>
        <w:t>x</w:t>
      </w:r>
    </w:p>
    <w:p w14:paraId="730B31A6" w14:textId="5197E71B" w:rsidR="00C70E92" w:rsidRPr="000E43F2" w:rsidRDefault="000E43F2" w:rsidP="000E43F2">
      <w:pPr>
        <w:rPr>
          <w:b/>
          <w:bCs/>
          <w:color w:val="548DD4" w:themeColor="text2" w:themeTint="99"/>
          <w:sz w:val="32"/>
          <w:szCs w:val="32"/>
        </w:rPr>
      </w:pPr>
      <w:r>
        <w:rPr>
          <w:b/>
          <w:bCs/>
          <w:color w:val="548DD4" w:themeColor="text2" w:themeTint="99"/>
          <w:sz w:val="32"/>
          <w:szCs w:val="32"/>
        </w:rPr>
        <w:br w:type="page"/>
      </w:r>
    </w:p>
    <w:p w14:paraId="568F614B" w14:textId="589CBD1D" w:rsidR="00C70E92" w:rsidRPr="00CC1F96" w:rsidRDefault="00C70E92" w:rsidP="00C70E92">
      <w:pPr>
        <w:jc w:val="center"/>
        <w:rPr>
          <w:b/>
          <w:bCs/>
          <w:sz w:val="24"/>
          <w:szCs w:val="24"/>
        </w:rPr>
      </w:pPr>
      <w:r w:rsidRPr="00CC1F96">
        <w:rPr>
          <w:b/>
          <w:bCs/>
          <w:sz w:val="24"/>
          <w:szCs w:val="24"/>
        </w:rPr>
        <w:lastRenderedPageBreak/>
        <w:t>REFE</w:t>
      </w:r>
      <w:r w:rsidR="009F7292">
        <w:rPr>
          <w:b/>
          <w:bCs/>
          <w:sz w:val="24"/>
          <w:szCs w:val="24"/>
        </w:rPr>
        <w:t>R</w:t>
      </w:r>
      <w:r w:rsidRPr="00CC1F96">
        <w:rPr>
          <w:b/>
          <w:bCs/>
          <w:sz w:val="24"/>
          <w:szCs w:val="24"/>
        </w:rPr>
        <w:t>RAL TO THE PAEDIATRIC WEIGHT MANAGEMENT SERVICE AT SOUTHAMPTON CHILDREN’S HOSPITAL</w:t>
      </w:r>
    </w:p>
    <w:p w14:paraId="45A9FCE0" w14:textId="1C5D7261" w:rsidR="00CC1F96" w:rsidRDefault="00CC1F96" w:rsidP="00CC1F96">
      <w:pPr>
        <w:spacing w:after="0"/>
        <w:jc w:val="center"/>
        <w:rPr>
          <w:i/>
          <w:iCs/>
        </w:rPr>
      </w:pPr>
      <w:r>
        <w:rPr>
          <w:i/>
          <w:iCs/>
        </w:rPr>
        <w:t xml:space="preserve">For </w:t>
      </w:r>
      <w:r w:rsidR="00861F84">
        <w:rPr>
          <w:i/>
          <w:iCs/>
        </w:rPr>
        <w:t>GP</w:t>
      </w:r>
      <w:r>
        <w:rPr>
          <w:i/>
          <w:iCs/>
        </w:rPr>
        <w:t>,</w:t>
      </w:r>
      <w:r w:rsidR="00861F84">
        <w:rPr>
          <w:i/>
          <w:iCs/>
        </w:rPr>
        <w:t xml:space="preserve"> p</w:t>
      </w:r>
      <w:r w:rsidR="00C70E92" w:rsidRPr="00861F84">
        <w:rPr>
          <w:i/>
          <w:iCs/>
        </w:rPr>
        <w:t xml:space="preserve">lease </w:t>
      </w:r>
      <w:r w:rsidR="00861F84" w:rsidRPr="00861F84">
        <w:rPr>
          <w:i/>
          <w:iCs/>
        </w:rPr>
        <w:t xml:space="preserve">attach a </w:t>
      </w:r>
      <w:r>
        <w:rPr>
          <w:i/>
          <w:iCs/>
        </w:rPr>
        <w:t>completed copy</w:t>
      </w:r>
      <w:r w:rsidR="00861F84" w:rsidRPr="00861F84">
        <w:rPr>
          <w:i/>
          <w:iCs/>
        </w:rPr>
        <w:t xml:space="preserve"> to your e</w:t>
      </w:r>
      <w:r>
        <w:rPr>
          <w:i/>
          <w:iCs/>
        </w:rPr>
        <w:t>-</w:t>
      </w:r>
      <w:r w:rsidR="00861F84" w:rsidRPr="00861F84">
        <w:rPr>
          <w:i/>
          <w:iCs/>
        </w:rPr>
        <w:t>referral</w:t>
      </w:r>
      <w:r>
        <w:rPr>
          <w:i/>
          <w:iCs/>
        </w:rPr>
        <w:t xml:space="preserve"> and use service “Paediatric Endocrinology”</w:t>
      </w:r>
    </w:p>
    <w:p w14:paraId="1D4AFD8D" w14:textId="55EE894D" w:rsidR="000E43F2" w:rsidRPr="00861F84" w:rsidRDefault="00CC1F96" w:rsidP="00CC1F96">
      <w:pPr>
        <w:jc w:val="center"/>
        <w:rPr>
          <w:i/>
          <w:iCs/>
        </w:rPr>
      </w:pPr>
      <w:r>
        <w:rPr>
          <w:i/>
          <w:iCs/>
        </w:rPr>
        <w:t xml:space="preserve">For queries and all other referrers, send via </w:t>
      </w:r>
      <w:hyperlink r:id="rId17" w:history="1">
        <w:r w:rsidRPr="008B752A">
          <w:rPr>
            <w:rStyle w:val="Hyperlink"/>
            <w:i/>
            <w:iCs/>
          </w:rPr>
          <w:t>uhs.weightmanagementteam@nhs.net</w:t>
        </w:r>
      </w:hyperlink>
    </w:p>
    <w:p w14:paraId="384AAC11" w14:textId="4B89C542" w:rsidR="00C70E92" w:rsidRPr="000E43F2" w:rsidRDefault="00C70E92" w:rsidP="00C70E92">
      <w:r w:rsidRPr="00976C42">
        <w:rPr>
          <w:color w:val="000000" w:themeColor="text1"/>
        </w:rPr>
        <w:t>Referral criteria:</w:t>
      </w:r>
    </w:p>
    <w:p w14:paraId="23B7E3E4" w14:textId="77777777" w:rsidR="00C70E92" w:rsidRPr="00DA13DC" w:rsidRDefault="00C70E92" w:rsidP="00C70E92">
      <w:pPr>
        <w:pStyle w:val="ListParagraph"/>
        <w:numPr>
          <w:ilvl w:val="0"/>
          <w:numId w:val="15"/>
        </w:numPr>
        <w:spacing w:after="0" w:line="240" w:lineRule="auto"/>
      </w:pPr>
      <w:r w:rsidRPr="00DA13DC">
        <w:t>BMI &gt;98</w:t>
      </w:r>
      <w:r w:rsidRPr="00DA13DC">
        <w:rPr>
          <w:vertAlign w:val="superscript"/>
        </w:rPr>
        <w:t>th</w:t>
      </w:r>
      <w:r w:rsidRPr="00DA13DC">
        <w:t xml:space="preserve"> centile (SDS &gt;2)</w:t>
      </w:r>
      <w:r>
        <w:t xml:space="preserve"> </w:t>
      </w:r>
      <w:r w:rsidRPr="00DA13DC">
        <w:t xml:space="preserve">with symptoms of co-morbidity or </w:t>
      </w:r>
    </w:p>
    <w:p w14:paraId="60AE61E4" w14:textId="77777777" w:rsidR="00C70E92" w:rsidRPr="00DA13DC" w:rsidRDefault="00C70E92" w:rsidP="00C70E92">
      <w:pPr>
        <w:pStyle w:val="ListParagraph"/>
        <w:numPr>
          <w:ilvl w:val="0"/>
          <w:numId w:val="15"/>
        </w:numPr>
        <w:spacing w:after="0" w:line="240" w:lineRule="auto"/>
      </w:pPr>
      <w:r w:rsidRPr="00DA13DC">
        <w:t>BMI &gt;99.6</w:t>
      </w:r>
      <w:r w:rsidRPr="00DA13DC">
        <w:rPr>
          <w:vertAlign w:val="superscript"/>
        </w:rPr>
        <w:t>th</w:t>
      </w:r>
      <w:r w:rsidRPr="00DA13DC">
        <w:t xml:space="preserve"> centile (SDS &gt;3) or</w:t>
      </w:r>
    </w:p>
    <w:p w14:paraId="0D987831" w14:textId="4205B5CF" w:rsidR="00C70E92" w:rsidRDefault="00C70E92" w:rsidP="000E43F2">
      <w:pPr>
        <w:pStyle w:val="ListParagraph"/>
        <w:numPr>
          <w:ilvl w:val="0"/>
          <w:numId w:val="15"/>
        </w:numPr>
        <w:spacing w:after="0" w:line="240" w:lineRule="auto"/>
      </w:pPr>
      <w:r w:rsidRPr="00DA13DC">
        <w:t>Baby who has cross &gt;3 centiles upwards in 6 months</w:t>
      </w:r>
      <w:r w:rsidR="000E43F2">
        <w:t xml:space="preserve"> or whose weight is &gt; 3 centiles above height</w:t>
      </w:r>
    </w:p>
    <w:p w14:paraId="115B75B3" w14:textId="77777777" w:rsidR="000E43F2" w:rsidRDefault="000E43F2" w:rsidP="000E43F2">
      <w:pPr>
        <w:pStyle w:val="ListParagraph"/>
        <w:spacing w:after="0" w:line="240" w:lineRule="auto"/>
      </w:pPr>
    </w:p>
    <w:tbl>
      <w:tblPr>
        <w:tblStyle w:val="TableGrid"/>
        <w:tblW w:w="0" w:type="auto"/>
        <w:tblLook w:val="04A0" w:firstRow="1" w:lastRow="0" w:firstColumn="1" w:lastColumn="0" w:noHBand="0" w:noVBand="1"/>
      </w:tblPr>
      <w:tblGrid>
        <w:gridCol w:w="4508"/>
        <w:gridCol w:w="4508"/>
      </w:tblGrid>
      <w:tr w:rsidR="00C70E92" w14:paraId="4C4BF039" w14:textId="77777777" w:rsidTr="00ED2FAB">
        <w:tc>
          <w:tcPr>
            <w:tcW w:w="4508" w:type="dxa"/>
          </w:tcPr>
          <w:p w14:paraId="2D47AB5F" w14:textId="77777777" w:rsidR="00C70E92" w:rsidRDefault="00C70E92" w:rsidP="00ED2FAB">
            <w:r>
              <w:t>Patient name</w:t>
            </w:r>
          </w:p>
          <w:p w14:paraId="31861E80" w14:textId="77777777" w:rsidR="00C70E92" w:rsidRDefault="00C70E92" w:rsidP="00ED2FAB"/>
          <w:p w14:paraId="014CD6D1" w14:textId="77777777" w:rsidR="00C70E92" w:rsidRDefault="00C70E92" w:rsidP="00ED2FAB">
            <w:proofErr w:type="spellStart"/>
            <w:r>
              <w:t>DoB</w:t>
            </w:r>
            <w:proofErr w:type="spellEnd"/>
          </w:p>
          <w:p w14:paraId="7BD9B9E2" w14:textId="77777777" w:rsidR="00C70E92" w:rsidRDefault="00C70E92" w:rsidP="00ED2FAB"/>
          <w:p w14:paraId="6ABD0883" w14:textId="77777777" w:rsidR="00C70E92" w:rsidRDefault="00C70E92" w:rsidP="00ED2FAB">
            <w:r>
              <w:t>NHS Number</w:t>
            </w:r>
          </w:p>
          <w:p w14:paraId="70FC873E" w14:textId="77777777" w:rsidR="00C70E92" w:rsidRDefault="00C70E92" w:rsidP="00ED2FAB"/>
          <w:p w14:paraId="22DD46D1" w14:textId="77777777" w:rsidR="00C70E92" w:rsidRDefault="00C70E92" w:rsidP="00ED2FAB">
            <w:r>
              <w:t>Address</w:t>
            </w:r>
          </w:p>
          <w:p w14:paraId="1DF28BFB" w14:textId="77777777" w:rsidR="00C70E92" w:rsidRDefault="00C70E92" w:rsidP="00ED2FAB"/>
        </w:tc>
        <w:tc>
          <w:tcPr>
            <w:tcW w:w="4508" w:type="dxa"/>
          </w:tcPr>
          <w:p w14:paraId="7CF0DDAB" w14:textId="77777777" w:rsidR="00C70E92" w:rsidRDefault="00C70E92" w:rsidP="00ED2FAB">
            <w:r>
              <w:t>Age</w:t>
            </w:r>
          </w:p>
          <w:p w14:paraId="3F74DFE2" w14:textId="77777777" w:rsidR="00C70E92" w:rsidRDefault="00C70E92" w:rsidP="00ED2FAB"/>
          <w:p w14:paraId="01BDB733" w14:textId="77777777" w:rsidR="00C70E92" w:rsidRDefault="00C70E92" w:rsidP="00ED2FAB">
            <w:r>
              <w:t xml:space="preserve">Weight </w:t>
            </w:r>
          </w:p>
          <w:p w14:paraId="6629C7B0" w14:textId="77777777" w:rsidR="00C70E92" w:rsidRDefault="00C70E92" w:rsidP="00ED2FAB">
            <w:r>
              <w:t>Weight centile</w:t>
            </w:r>
          </w:p>
          <w:p w14:paraId="6BDE9290" w14:textId="77777777" w:rsidR="00C70E92" w:rsidRDefault="00C70E92" w:rsidP="00ED2FAB"/>
          <w:p w14:paraId="54A9972C" w14:textId="77777777" w:rsidR="00C70E92" w:rsidRDefault="00C70E92" w:rsidP="00ED2FAB">
            <w:r>
              <w:t>Height</w:t>
            </w:r>
          </w:p>
          <w:p w14:paraId="09194C61" w14:textId="77777777" w:rsidR="00C70E92" w:rsidRDefault="00C70E92" w:rsidP="00ED2FAB">
            <w:r>
              <w:t>Height centile</w:t>
            </w:r>
          </w:p>
          <w:p w14:paraId="2A93CD1A" w14:textId="77777777" w:rsidR="00C70E92" w:rsidRDefault="00C70E92" w:rsidP="00ED2FAB"/>
          <w:p w14:paraId="03302A34" w14:textId="77777777" w:rsidR="00C70E92" w:rsidRDefault="00C70E92" w:rsidP="00ED2FAB">
            <w:r>
              <w:t>BMI</w:t>
            </w:r>
          </w:p>
          <w:p w14:paraId="69CFB281" w14:textId="77777777" w:rsidR="00C70E92" w:rsidRDefault="00C70E92" w:rsidP="00ED2FAB">
            <w:r>
              <w:t>BMI SDS</w:t>
            </w:r>
          </w:p>
          <w:p w14:paraId="5FFFDFBF" w14:textId="77777777" w:rsidR="00C70E92" w:rsidRDefault="00C70E92" w:rsidP="00ED2FAB"/>
          <w:p w14:paraId="76378DE8" w14:textId="77777777" w:rsidR="00C70E92" w:rsidRDefault="00C70E92" w:rsidP="00ED2FAB">
            <w:r>
              <w:t>(Can use Growth charts UK-WHO App)</w:t>
            </w:r>
          </w:p>
        </w:tc>
      </w:tr>
      <w:tr w:rsidR="00C70E92" w14:paraId="561333E7" w14:textId="77777777" w:rsidTr="00ED2FAB">
        <w:tc>
          <w:tcPr>
            <w:tcW w:w="9016" w:type="dxa"/>
            <w:gridSpan w:val="2"/>
          </w:tcPr>
          <w:p w14:paraId="184B86C3" w14:textId="77777777" w:rsidR="00C70E92" w:rsidRDefault="00C70E92" w:rsidP="00ED2FAB">
            <w:r>
              <w:t>Relevant PMH (including behavioural difficulties, learning difficulties, complex social circumstances)</w:t>
            </w:r>
          </w:p>
          <w:p w14:paraId="247DA854" w14:textId="77777777" w:rsidR="00C70E92" w:rsidRDefault="00C70E92" w:rsidP="00ED2FAB"/>
          <w:p w14:paraId="03AF6EEB" w14:textId="77777777" w:rsidR="00C70E92" w:rsidRDefault="00C70E92" w:rsidP="00ED2FAB"/>
          <w:p w14:paraId="7C3EDD06" w14:textId="77777777" w:rsidR="00C70E92" w:rsidRDefault="00C70E92" w:rsidP="00ED2FAB"/>
          <w:p w14:paraId="12B21D1A" w14:textId="77777777" w:rsidR="00C70E92" w:rsidRDefault="00C70E92" w:rsidP="00ED2FAB"/>
        </w:tc>
      </w:tr>
      <w:tr w:rsidR="00C70E92" w14:paraId="71ABE762" w14:textId="77777777" w:rsidTr="00ED2FAB">
        <w:tc>
          <w:tcPr>
            <w:tcW w:w="9016" w:type="dxa"/>
            <w:gridSpan w:val="2"/>
          </w:tcPr>
          <w:p w14:paraId="39BB0D5E" w14:textId="77777777" w:rsidR="00C70E92" w:rsidRDefault="00C70E92" w:rsidP="00ED2FAB">
            <w:r>
              <w:t>Co-morbidity screen:</w:t>
            </w:r>
          </w:p>
          <w:p w14:paraId="57FCB0EE" w14:textId="77777777" w:rsidR="00C70E92" w:rsidRDefault="00C70E92" w:rsidP="00ED2FAB">
            <w:r>
              <w:t>Symptoms of obstructive sleep apnoea, T2DM, slipped upper femoral epiphysis or reduced mobility, gallstones, PCOS or depression? Please provide details:</w:t>
            </w:r>
          </w:p>
          <w:p w14:paraId="141C75E0" w14:textId="77777777" w:rsidR="00C70E92" w:rsidRDefault="00C70E92" w:rsidP="00ED2FAB"/>
          <w:p w14:paraId="22E2DCEE" w14:textId="77777777" w:rsidR="00C70E92" w:rsidRDefault="00C70E92" w:rsidP="00ED2FAB"/>
          <w:p w14:paraId="74426608" w14:textId="77777777" w:rsidR="00C70E92" w:rsidRDefault="00C70E92" w:rsidP="00ED2FAB"/>
          <w:p w14:paraId="32513D5D" w14:textId="77777777" w:rsidR="00C70E92" w:rsidRDefault="00C70E92" w:rsidP="00ED2FAB"/>
        </w:tc>
      </w:tr>
      <w:tr w:rsidR="00C70E92" w14:paraId="14E8CD5E" w14:textId="77777777" w:rsidTr="00ED2FAB">
        <w:tc>
          <w:tcPr>
            <w:tcW w:w="4508" w:type="dxa"/>
          </w:tcPr>
          <w:p w14:paraId="6AD88932" w14:textId="77777777" w:rsidR="00C70E92" w:rsidRDefault="00C70E92" w:rsidP="00ED2FAB">
            <w:r>
              <w:t>Ethnicity</w:t>
            </w:r>
          </w:p>
          <w:p w14:paraId="101420E7" w14:textId="77777777" w:rsidR="00C70E92" w:rsidRDefault="00C70E92" w:rsidP="00ED2FAB"/>
        </w:tc>
        <w:tc>
          <w:tcPr>
            <w:tcW w:w="4508" w:type="dxa"/>
          </w:tcPr>
          <w:p w14:paraId="6F3EFA62" w14:textId="77777777" w:rsidR="00C70E92" w:rsidRDefault="00C70E92" w:rsidP="00ED2FAB">
            <w:proofErr w:type="spellStart"/>
            <w:r>
              <w:t>FHx</w:t>
            </w:r>
            <w:proofErr w:type="spellEnd"/>
            <w:r>
              <w:t xml:space="preserve"> of </w:t>
            </w:r>
          </w:p>
          <w:p w14:paraId="5E1871D8" w14:textId="77777777" w:rsidR="00C70E92" w:rsidRDefault="00C70E92" w:rsidP="00ED2FAB">
            <w:r>
              <w:t>Obesity:</w:t>
            </w:r>
          </w:p>
          <w:p w14:paraId="6AD44934" w14:textId="77777777" w:rsidR="00C70E92" w:rsidRDefault="00C70E92" w:rsidP="00ED2FAB">
            <w:r>
              <w:t>Cardiovascular disease:</w:t>
            </w:r>
          </w:p>
          <w:p w14:paraId="6D0932A5" w14:textId="77777777" w:rsidR="00C70E92" w:rsidRDefault="00C70E92" w:rsidP="00ED2FAB">
            <w:r>
              <w:t>T2DM:</w:t>
            </w:r>
          </w:p>
        </w:tc>
      </w:tr>
      <w:tr w:rsidR="00C70E92" w14:paraId="43D9BB12" w14:textId="77777777" w:rsidTr="00ED2FAB">
        <w:tc>
          <w:tcPr>
            <w:tcW w:w="4508" w:type="dxa"/>
          </w:tcPr>
          <w:p w14:paraId="421B5881" w14:textId="77777777" w:rsidR="00C70E92" w:rsidRDefault="00C70E92" w:rsidP="00ED2FAB">
            <w:r>
              <w:t>Weight management input so far:</w:t>
            </w:r>
          </w:p>
          <w:p w14:paraId="2E1F2009" w14:textId="77777777" w:rsidR="00C70E92" w:rsidRDefault="00C70E92" w:rsidP="00ED2FAB"/>
          <w:p w14:paraId="7B1CC492" w14:textId="77777777" w:rsidR="00C70E92" w:rsidRDefault="00C70E92" w:rsidP="00ED2FAB"/>
        </w:tc>
        <w:tc>
          <w:tcPr>
            <w:tcW w:w="4508" w:type="dxa"/>
          </w:tcPr>
          <w:p w14:paraId="19AE03F0" w14:textId="77777777" w:rsidR="00C70E92" w:rsidRDefault="00C70E92" w:rsidP="00ED2FAB">
            <w:r>
              <w:t>Parental consent for referral:</w:t>
            </w:r>
          </w:p>
        </w:tc>
      </w:tr>
      <w:tr w:rsidR="00C70E92" w14:paraId="54FCC804" w14:textId="77777777" w:rsidTr="00ED2FAB">
        <w:tc>
          <w:tcPr>
            <w:tcW w:w="9016" w:type="dxa"/>
            <w:gridSpan w:val="2"/>
          </w:tcPr>
          <w:p w14:paraId="12EA73D0" w14:textId="77777777" w:rsidR="00C70E92" w:rsidRDefault="00C70E92" w:rsidP="00ED2FAB">
            <w:r>
              <w:t>Results of bloods tests: (need TFTs and LFTs prior to referral being accepted)</w:t>
            </w:r>
          </w:p>
          <w:p w14:paraId="4769B6F9" w14:textId="77777777" w:rsidR="00C70E92" w:rsidRDefault="00C70E92" w:rsidP="00ED2FAB"/>
          <w:p w14:paraId="3D9D4214" w14:textId="77777777" w:rsidR="00C70E92" w:rsidRDefault="00C70E92" w:rsidP="00ED2FAB"/>
        </w:tc>
      </w:tr>
      <w:tr w:rsidR="00C70E92" w14:paraId="7FA10440" w14:textId="77777777" w:rsidTr="00ED2FAB">
        <w:tc>
          <w:tcPr>
            <w:tcW w:w="9016" w:type="dxa"/>
            <w:gridSpan w:val="2"/>
          </w:tcPr>
          <w:p w14:paraId="009217A0" w14:textId="77777777" w:rsidR="00C70E92" w:rsidRDefault="00C70E92" w:rsidP="00ED2FAB">
            <w:r>
              <w:t>Professional referring patient:</w:t>
            </w:r>
          </w:p>
        </w:tc>
      </w:tr>
    </w:tbl>
    <w:p w14:paraId="1DA11CE9" w14:textId="077CB0C1" w:rsidR="00A24D7F" w:rsidRPr="00F17691" w:rsidRDefault="00A24D7F" w:rsidP="00A24D7F">
      <w:pPr>
        <w:framePr w:hSpace="180" w:wrap="around" w:vAnchor="text" w:hAnchor="margin" w:y="731"/>
        <w:rPr>
          <w:b/>
        </w:rPr>
      </w:pPr>
      <w:r w:rsidRPr="00F17691">
        <w:rPr>
          <w:b/>
        </w:rPr>
        <w:lastRenderedPageBreak/>
        <w:t>A healthy eating pattern for a child or young person should result in</w:t>
      </w:r>
      <w:r>
        <w:rPr>
          <w:b/>
        </w:rPr>
        <w:t>*</w:t>
      </w:r>
      <w:r w:rsidRPr="00F17691">
        <w:rPr>
          <w:b/>
        </w:rPr>
        <w:t>:</w:t>
      </w:r>
    </w:p>
    <w:p w14:paraId="48DECE04" w14:textId="77777777" w:rsidR="00A24D7F" w:rsidRPr="00F17691" w:rsidRDefault="00A24D7F" w:rsidP="00A24D7F">
      <w:pPr>
        <w:pStyle w:val="ListParagraph"/>
        <w:framePr w:hSpace="180" w:wrap="around" w:vAnchor="text" w:hAnchor="margin" w:y="731"/>
        <w:numPr>
          <w:ilvl w:val="0"/>
          <w:numId w:val="14"/>
        </w:numPr>
        <w:ind w:left="894"/>
        <w:rPr>
          <w:b/>
        </w:rPr>
      </w:pPr>
      <w:r w:rsidRPr="00F17691">
        <w:rPr>
          <w:b/>
        </w:rPr>
        <w:t>50-55% of their total energy (kilocalories) coming from carbohydrate</w:t>
      </w:r>
    </w:p>
    <w:p w14:paraId="26925236" w14:textId="77777777" w:rsidR="00A24D7F" w:rsidRPr="00F17691" w:rsidRDefault="00A24D7F" w:rsidP="00A24D7F">
      <w:pPr>
        <w:pStyle w:val="ListParagraph"/>
        <w:framePr w:hSpace="180" w:wrap="around" w:vAnchor="text" w:hAnchor="margin" w:y="731"/>
        <w:numPr>
          <w:ilvl w:val="0"/>
          <w:numId w:val="14"/>
        </w:numPr>
        <w:ind w:left="894"/>
        <w:rPr>
          <w:b/>
        </w:rPr>
      </w:pPr>
      <w:r w:rsidRPr="00F17691">
        <w:rPr>
          <w:b/>
        </w:rPr>
        <w:t>Less than 35% of their total energy (kilocalories) from fat (with less than 10% of fat being saturated fat)</w:t>
      </w:r>
    </w:p>
    <w:p w14:paraId="5668A487" w14:textId="77777777" w:rsidR="00A24D7F" w:rsidRPr="00A24D7F" w:rsidRDefault="00A24D7F" w:rsidP="00A24D7F">
      <w:pPr>
        <w:pStyle w:val="ListParagraph"/>
        <w:framePr w:hSpace="180" w:wrap="around" w:vAnchor="text" w:hAnchor="margin" w:y="731"/>
        <w:numPr>
          <w:ilvl w:val="0"/>
          <w:numId w:val="14"/>
        </w:numPr>
        <w:ind w:left="894"/>
        <w:rPr>
          <w:b/>
        </w:rPr>
      </w:pPr>
      <w:r w:rsidRPr="00F17691">
        <w:rPr>
          <w:b/>
        </w:rPr>
        <w:t>15-20% of their total energy (kilocalori</w:t>
      </w:r>
      <w:r>
        <w:rPr>
          <w:b/>
        </w:rPr>
        <w:t>es) intake coming from protein</w:t>
      </w:r>
    </w:p>
    <w:p w14:paraId="44DD052E" w14:textId="7ED7D602" w:rsidR="00A24D7F" w:rsidRPr="00A24D7F" w:rsidRDefault="00A24D7F" w:rsidP="00A24D7F">
      <w:pPr>
        <w:pStyle w:val="ListParagraph"/>
        <w:numPr>
          <w:ilvl w:val="0"/>
          <w:numId w:val="8"/>
        </w:numPr>
        <w:rPr>
          <w:b/>
          <w:bCs/>
          <w:color w:val="548DD4" w:themeColor="text2" w:themeTint="99"/>
          <w:sz w:val="32"/>
          <w:szCs w:val="32"/>
        </w:rPr>
      </w:pPr>
      <w:r w:rsidRPr="00A24D7F">
        <w:rPr>
          <w:b/>
          <w:bCs/>
          <w:color w:val="548DD4" w:themeColor="text2" w:themeTint="99"/>
          <w:sz w:val="32"/>
          <w:szCs w:val="32"/>
        </w:rPr>
        <w:t>A short guide to calories and carbohydrates in children</w:t>
      </w:r>
    </w:p>
    <w:p w14:paraId="742816DF" w14:textId="22B076F2" w:rsidR="00A24D7F" w:rsidRDefault="00A24D7F" w:rsidP="00A24D7F">
      <w:pPr>
        <w:ind w:left="360"/>
        <w:jc w:val="center"/>
      </w:pPr>
      <w:r w:rsidRPr="0014690B">
        <w:rPr>
          <w:noProof/>
          <w:lang w:eastAsia="en-GB"/>
        </w:rPr>
        <w:drawing>
          <wp:inline distT="0" distB="0" distL="0" distR="0" wp14:anchorId="2174964D" wp14:editId="10B6C245">
            <wp:extent cx="5201879" cy="2890684"/>
            <wp:effectExtent l="19050" t="0" r="0" b="0"/>
            <wp:docPr id="11" name="Picture 9" descr="Eat-Well-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Well-slide.jpg"/>
                    <pic:cNvPicPr/>
                  </pic:nvPicPr>
                  <pic:blipFill>
                    <a:blip r:embed="rId18" cstate="print"/>
                    <a:stretch>
                      <a:fillRect/>
                    </a:stretch>
                  </pic:blipFill>
                  <pic:spPr>
                    <a:xfrm>
                      <a:off x="0" y="0"/>
                      <a:ext cx="5201879" cy="2890684"/>
                    </a:xfrm>
                    <a:prstGeom prst="rect">
                      <a:avLst/>
                    </a:prstGeom>
                  </pic:spPr>
                </pic:pic>
              </a:graphicData>
            </a:graphic>
          </wp:inline>
        </w:drawing>
      </w:r>
    </w:p>
    <w:p w14:paraId="15460C40" w14:textId="77777777" w:rsidR="00A24D7F" w:rsidRPr="00A24D7F" w:rsidRDefault="00A24D7F" w:rsidP="00A24D7F">
      <w:pPr>
        <w:ind w:left="360"/>
        <w:jc w:val="both"/>
        <w:rPr>
          <w:b/>
          <w:sz w:val="28"/>
          <w:szCs w:val="28"/>
        </w:rPr>
      </w:pPr>
      <w:r>
        <w:t>T</w:t>
      </w:r>
      <w:r w:rsidRPr="00C52E2E">
        <w:t>able</w:t>
      </w:r>
      <w:r>
        <w:t xml:space="preserve"> 1</w:t>
      </w:r>
      <w:r w:rsidRPr="00C52E2E">
        <w:t xml:space="preserve"> shows th</w:t>
      </w:r>
      <w:r>
        <w:t>e Estimated Average Requirement</w:t>
      </w:r>
      <w:r w:rsidRPr="00C52E2E">
        <w:t xml:space="preserve"> (EAR) for gi</w:t>
      </w:r>
      <w:r>
        <w:t xml:space="preserve">rls and boys aged 1 to 18 years (this is the total energy on average you would expect a healthy active child or adolescent to consume each day).  It also shows how much carbohydrate (grams) would need to be eaten to provide the recommended 50-55% of the daily energy intake.  For young people who are underweight, </w:t>
      </w:r>
      <w:proofErr w:type="gramStart"/>
      <w:r>
        <w:t>overweight</w:t>
      </w:r>
      <w:proofErr w:type="gramEnd"/>
      <w:r>
        <w:t xml:space="preserve"> or particularly active or inactive the recommended daily intake would be different.</w:t>
      </w:r>
    </w:p>
    <w:tbl>
      <w:tblPr>
        <w:tblStyle w:val="TableGrid"/>
        <w:tblpPr w:leftFromText="180" w:rightFromText="180" w:vertAnchor="text" w:horzAnchor="margin" w:tblpY="75"/>
        <w:tblW w:w="9322" w:type="dxa"/>
        <w:tblLook w:val="04A0" w:firstRow="1" w:lastRow="0" w:firstColumn="1" w:lastColumn="0" w:noHBand="0" w:noVBand="1"/>
      </w:tblPr>
      <w:tblGrid>
        <w:gridCol w:w="1809"/>
        <w:gridCol w:w="1418"/>
        <w:gridCol w:w="2410"/>
        <w:gridCol w:w="1275"/>
        <w:gridCol w:w="2410"/>
      </w:tblGrid>
      <w:tr w:rsidR="00A24D7F" w:rsidRPr="00032FF7" w14:paraId="6715AFEB" w14:textId="77777777" w:rsidTr="00ED2FAB">
        <w:trPr>
          <w:trHeight w:val="418"/>
        </w:trPr>
        <w:tc>
          <w:tcPr>
            <w:tcW w:w="1809" w:type="dxa"/>
            <w:vMerge w:val="restart"/>
          </w:tcPr>
          <w:p w14:paraId="3B50A6F3" w14:textId="77777777" w:rsidR="00A24D7F" w:rsidRPr="00032FF7" w:rsidRDefault="00A24D7F" w:rsidP="00ED2FAB">
            <w:pPr>
              <w:rPr>
                <w:b/>
              </w:rPr>
            </w:pPr>
            <w:r w:rsidRPr="00032FF7">
              <w:rPr>
                <w:b/>
              </w:rPr>
              <w:t xml:space="preserve">Age </w:t>
            </w:r>
          </w:p>
          <w:p w14:paraId="20219EDB" w14:textId="77777777" w:rsidR="00A24D7F" w:rsidRPr="00032FF7" w:rsidRDefault="00A24D7F" w:rsidP="00ED2FAB">
            <w:pPr>
              <w:rPr>
                <w:b/>
              </w:rPr>
            </w:pPr>
            <w:r w:rsidRPr="00032FF7">
              <w:rPr>
                <w:b/>
              </w:rPr>
              <w:t>(years)</w:t>
            </w:r>
          </w:p>
        </w:tc>
        <w:tc>
          <w:tcPr>
            <w:tcW w:w="3828" w:type="dxa"/>
            <w:gridSpan w:val="2"/>
          </w:tcPr>
          <w:p w14:paraId="44D80496" w14:textId="77777777" w:rsidR="00A24D7F" w:rsidRPr="00032FF7" w:rsidRDefault="00A24D7F" w:rsidP="00ED2FAB">
            <w:pPr>
              <w:jc w:val="center"/>
              <w:rPr>
                <w:b/>
              </w:rPr>
            </w:pPr>
            <w:r w:rsidRPr="00032FF7">
              <w:rPr>
                <w:b/>
              </w:rPr>
              <w:t>Boys</w:t>
            </w:r>
          </w:p>
        </w:tc>
        <w:tc>
          <w:tcPr>
            <w:tcW w:w="3685" w:type="dxa"/>
            <w:gridSpan w:val="2"/>
          </w:tcPr>
          <w:p w14:paraId="2E34BDD8" w14:textId="77777777" w:rsidR="00A24D7F" w:rsidRPr="00032FF7" w:rsidRDefault="00A24D7F" w:rsidP="00ED2FAB">
            <w:pPr>
              <w:jc w:val="center"/>
              <w:rPr>
                <w:b/>
              </w:rPr>
            </w:pPr>
            <w:r w:rsidRPr="00032FF7">
              <w:rPr>
                <w:b/>
              </w:rPr>
              <w:t>Girls</w:t>
            </w:r>
          </w:p>
          <w:p w14:paraId="3863C8A8" w14:textId="77777777" w:rsidR="00A24D7F" w:rsidRPr="00032FF7" w:rsidRDefault="00A24D7F" w:rsidP="00ED2FAB">
            <w:pPr>
              <w:rPr>
                <w:b/>
              </w:rPr>
            </w:pPr>
          </w:p>
        </w:tc>
      </w:tr>
      <w:tr w:rsidR="00A24D7F" w:rsidRPr="00032FF7" w14:paraId="2BD5A906" w14:textId="77777777" w:rsidTr="00ED2FAB">
        <w:trPr>
          <w:trHeight w:val="418"/>
        </w:trPr>
        <w:tc>
          <w:tcPr>
            <w:tcW w:w="1809" w:type="dxa"/>
            <w:vMerge/>
          </w:tcPr>
          <w:p w14:paraId="460AB0DF" w14:textId="77777777" w:rsidR="00A24D7F" w:rsidRPr="00032FF7" w:rsidRDefault="00A24D7F" w:rsidP="00ED2FAB">
            <w:pPr>
              <w:rPr>
                <w:b/>
              </w:rPr>
            </w:pPr>
          </w:p>
        </w:tc>
        <w:tc>
          <w:tcPr>
            <w:tcW w:w="1418" w:type="dxa"/>
          </w:tcPr>
          <w:p w14:paraId="2330476F" w14:textId="77777777" w:rsidR="00A24D7F" w:rsidRPr="00032FF7" w:rsidRDefault="00A24D7F" w:rsidP="00ED2FAB">
            <w:pPr>
              <w:rPr>
                <w:b/>
              </w:rPr>
            </w:pPr>
            <w:r w:rsidRPr="00032FF7">
              <w:rPr>
                <w:b/>
              </w:rPr>
              <w:t xml:space="preserve">      EAR*</w:t>
            </w:r>
          </w:p>
          <w:p w14:paraId="0E3140CC" w14:textId="77777777" w:rsidR="00A24D7F" w:rsidRPr="00032FF7" w:rsidRDefault="00A24D7F" w:rsidP="00ED2FAB">
            <w:pPr>
              <w:rPr>
                <w:b/>
              </w:rPr>
            </w:pPr>
            <w:r w:rsidRPr="00032FF7">
              <w:rPr>
                <w:b/>
              </w:rPr>
              <w:t>(Kilocalories)</w:t>
            </w:r>
          </w:p>
        </w:tc>
        <w:tc>
          <w:tcPr>
            <w:tcW w:w="2410" w:type="dxa"/>
          </w:tcPr>
          <w:p w14:paraId="128F92ED" w14:textId="77777777" w:rsidR="00A24D7F" w:rsidRPr="00032FF7" w:rsidRDefault="00A24D7F" w:rsidP="00ED2FAB">
            <w:pPr>
              <w:jc w:val="center"/>
              <w:rPr>
                <w:b/>
              </w:rPr>
            </w:pPr>
            <w:r w:rsidRPr="00032FF7">
              <w:rPr>
                <w:b/>
              </w:rPr>
              <w:t xml:space="preserve">Suggested daily </w:t>
            </w:r>
          </w:p>
          <w:p w14:paraId="29044625" w14:textId="77777777" w:rsidR="00A24D7F" w:rsidRPr="00032FF7" w:rsidRDefault="00A24D7F" w:rsidP="00ED2FAB">
            <w:pPr>
              <w:jc w:val="center"/>
              <w:rPr>
                <w:b/>
              </w:rPr>
            </w:pPr>
            <w:r w:rsidRPr="00032FF7">
              <w:rPr>
                <w:b/>
              </w:rPr>
              <w:t xml:space="preserve">Carbohydrate </w:t>
            </w:r>
          </w:p>
          <w:p w14:paraId="2403CE30" w14:textId="77777777" w:rsidR="00A24D7F" w:rsidRPr="00032FF7" w:rsidRDefault="00A24D7F" w:rsidP="00ED2FAB">
            <w:pPr>
              <w:jc w:val="center"/>
              <w:rPr>
                <w:b/>
              </w:rPr>
            </w:pPr>
            <w:r w:rsidRPr="00032FF7">
              <w:rPr>
                <w:b/>
              </w:rPr>
              <w:t>Intake (grams)</w:t>
            </w:r>
          </w:p>
        </w:tc>
        <w:tc>
          <w:tcPr>
            <w:tcW w:w="1275" w:type="dxa"/>
          </w:tcPr>
          <w:p w14:paraId="4109CB9F" w14:textId="77777777" w:rsidR="00A24D7F" w:rsidRPr="00032FF7" w:rsidRDefault="00A24D7F" w:rsidP="00ED2FAB">
            <w:pPr>
              <w:jc w:val="center"/>
              <w:rPr>
                <w:b/>
              </w:rPr>
            </w:pPr>
            <w:r w:rsidRPr="00032FF7">
              <w:rPr>
                <w:b/>
              </w:rPr>
              <w:t>EAR</w:t>
            </w:r>
          </w:p>
          <w:p w14:paraId="2FD577D7" w14:textId="77777777" w:rsidR="00A24D7F" w:rsidRPr="00032FF7" w:rsidRDefault="00A24D7F" w:rsidP="00ED2FAB">
            <w:pPr>
              <w:rPr>
                <w:b/>
              </w:rPr>
            </w:pPr>
            <w:r w:rsidRPr="00032FF7">
              <w:rPr>
                <w:b/>
              </w:rPr>
              <w:t>Kilocalories</w:t>
            </w:r>
          </w:p>
        </w:tc>
        <w:tc>
          <w:tcPr>
            <w:tcW w:w="2410" w:type="dxa"/>
          </w:tcPr>
          <w:p w14:paraId="2B634E38" w14:textId="77777777" w:rsidR="00A24D7F" w:rsidRPr="00032FF7" w:rsidRDefault="00A24D7F" w:rsidP="00ED2FAB">
            <w:pPr>
              <w:jc w:val="center"/>
              <w:rPr>
                <w:b/>
              </w:rPr>
            </w:pPr>
            <w:r w:rsidRPr="00032FF7">
              <w:rPr>
                <w:b/>
              </w:rPr>
              <w:t>Suggested daily Carbohydrate</w:t>
            </w:r>
          </w:p>
          <w:p w14:paraId="1BBC8F64" w14:textId="77777777" w:rsidR="00A24D7F" w:rsidRPr="00032FF7" w:rsidRDefault="00A24D7F" w:rsidP="00ED2FAB">
            <w:pPr>
              <w:jc w:val="center"/>
              <w:rPr>
                <w:b/>
              </w:rPr>
            </w:pPr>
            <w:r w:rsidRPr="00032FF7">
              <w:rPr>
                <w:b/>
              </w:rPr>
              <w:t>Intake (grams)</w:t>
            </w:r>
          </w:p>
        </w:tc>
      </w:tr>
      <w:tr w:rsidR="00A24D7F" w:rsidRPr="00032FF7" w14:paraId="2CB7B230" w14:textId="77777777" w:rsidTr="00ED2FAB">
        <w:tc>
          <w:tcPr>
            <w:tcW w:w="1809" w:type="dxa"/>
          </w:tcPr>
          <w:p w14:paraId="3EC21FC6" w14:textId="77777777" w:rsidR="00A24D7F" w:rsidRPr="00032FF7" w:rsidRDefault="00A24D7F" w:rsidP="00ED2FAB">
            <w:r w:rsidRPr="00032FF7">
              <w:t>1</w:t>
            </w:r>
          </w:p>
        </w:tc>
        <w:tc>
          <w:tcPr>
            <w:tcW w:w="1418" w:type="dxa"/>
          </w:tcPr>
          <w:p w14:paraId="3849CB8B" w14:textId="77777777" w:rsidR="00A24D7F" w:rsidRPr="00032FF7" w:rsidRDefault="00A24D7F" w:rsidP="00ED2FAB">
            <w:r w:rsidRPr="00032FF7">
              <w:t>765</w:t>
            </w:r>
          </w:p>
        </w:tc>
        <w:tc>
          <w:tcPr>
            <w:tcW w:w="2410" w:type="dxa"/>
          </w:tcPr>
          <w:p w14:paraId="02125A75" w14:textId="77777777" w:rsidR="00A24D7F" w:rsidRPr="00032FF7" w:rsidRDefault="00A24D7F" w:rsidP="00ED2FAB">
            <w:r w:rsidRPr="00032FF7">
              <w:t>95 – 105</w:t>
            </w:r>
          </w:p>
        </w:tc>
        <w:tc>
          <w:tcPr>
            <w:tcW w:w="1275" w:type="dxa"/>
          </w:tcPr>
          <w:p w14:paraId="1524EE82" w14:textId="77777777" w:rsidR="00A24D7F" w:rsidRPr="00032FF7" w:rsidRDefault="00A24D7F" w:rsidP="00ED2FAB">
            <w:r w:rsidRPr="00032FF7">
              <w:t>717</w:t>
            </w:r>
          </w:p>
        </w:tc>
        <w:tc>
          <w:tcPr>
            <w:tcW w:w="2410" w:type="dxa"/>
          </w:tcPr>
          <w:p w14:paraId="44DEA6F4" w14:textId="77777777" w:rsidR="00A24D7F" w:rsidRPr="00032FF7" w:rsidRDefault="00A24D7F" w:rsidP="00ED2FAB">
            <w:r>
              <w:t>90 – 98</w:t>
            </w:r>
          </w:p>
        </w:tc>
      </w:tr>
      <w:tr w:rsidR="00A24D7F" w:rsidRPr="00032FF7" w14:paraId="48C2CF27" w14:textId="77777777" w:rsidTr="00ED2FAB">
        <w:tc>
          <w:tcPr>
            <w:tcW w:w="1809" w:type="dxa"/>
          </w:tcPr>
          <w:p w14:paraId="1E3BA339" w14:textId="77777777" w:rsidR="00A24D7F" w:rsidRPr="00032FF7" w:rsidRDefault="00A24D7F" w:rsidP="00ED2FAB">
            <w:r w:rsidRPr="00032FF7">
              <w:t>2</w:t>
            </w:r>
          </w:p>
        </w:tc>
        <w:tc>
          <w:tcPr>
            <w:tcW w:w="1418" w:type="dxa"/>
          </w:tcPr>
          <w:p w14:paraId="70F175A1" w14:textId="77777777" w:rsidR="00A24D7F" w:rsidRPr="00032FF7" w:rsidRDefault="00A24D7F" w:rsidP="00ED2FAB">
            <w:r w:rsidRPr="00032FF7">
              <w:t>1004</w:t>
            </w:r>
          </w:p>
        </w:tc>
        <w:tc>
          <w:tcPr>
            <w:tcW w:w="2410" w:type="dxa"/>
          </w:tcPr>
          <w:p w14:paraId="7A3A9CF8" w14:textId="77777777" w:rsidR="00A24D7F" w:rsidRPr="00032FF7" w:rsidRDefault="00A24D7F" w:rsidP="00ED2FAB">
            <w:r w:rsidRPr="00032FF7">
              <w:t>125 – 138</w:t>
            </w:r>
          </w:p>
        </w:tc>
        <w:tc>
          <w:tcPr>
            <w:tcW w:w="1275" w:type="dxa"/>
          </w:tcPr>
          <w:p w14:paraId="35A4BD1F" w14:textId="77777777" w:rsidR="00A24D7F" w:rsidRPr="00032FF7" w:rsidRDefault="00A24D7F" w:rsidP="00ED2FAB">
            <w:r w:rsidRPr="00032FF7">
              <w:t>932</w:t>
            </w:r>
          </w:p>
        </w:tc>
        <w:tc>
          <w:tcPr>
            <w:tcW w:w="2410" w:type="dxa"/>
          </w:tcPr>
          <w:p w14:paraId="0BF81ED0" w14:textId="77777777" w:rsidR="00A24D7F" w:rsidRPr="00032FF7" w:rsidRDefault="00A24D7F" w:rsidP="00ED2FAB">
            <w:r>
              <w:t>116 – 128</w:t>
            </w:r>
          </w:p>
        </w:tc>
      </w:tr>
      <w:tr w:rsidR="00A24D7F" w:rsidRPr="00032FF7" w14:paraId="4513BB26" w14:textId="77777777" w:rsidTr="00ED2FAB">
        <w:tc>
          <w:tcPr>
            <w:tcW w:w="1809" w:type="dxa"/>
          </w:tcPr>
          <w:p w14:paraId="7491F0D8" w14:textId="77777777" w:rsidR="00A24D7F" w:rsidRPr="00032FF7" w:rsidRDefault="00A24D7F" w:rsidP="00ED2FAB">
            <w:r w:rsidRPr="00032FF7">
              <w:t>3</w:t>
            </w:r>
          </w:p>
        </w:tc>
        <w:tc>
          <w:tcPr>
            <w:tcW w:w="1418" w:type="dxa"/>
          </w:tcPr>
          <w:p w14:paraId="1DD17AF8" w14:textId="77777777" w:rsidR="00A24D7F" w:rsidRPr="00032FF7" w:rsidRDefault="00A24D7F" w:rsidP="00ED2FAB">
            <w:r w:rsidRPr="00032FF7">
              <w:t>1171</w:t>
            </w:r>
          </w:p>
        </w:tc>
        <w:tc>
          <w:tcPr>
            <w:tcW w:w="2410" w:type="dxa"/>
          </w:tcPr>
          <w:p w14:paraId="0867302C" w14:textId="77777777" w:rsidR="00A24D7F" w:rsidRPr="00032FF7" w:rsidRDefault="00A24D7F" w:rsidP="00ED2FAB">
            <w:r w:rsidRPr="00032FF7">
              <w:t>146 – 161</w:t>
            </w:r>
          </w:p>
        </w:tc>
        <w:tc>
          <w:tcPr>
            <w:tcW w:w="1275" w:type="dxa"/>
          </w:tcPr>
          <w:p w14:paraId="79AFC4AC" w14:textId="77777777" w:rsidR="00A24D7F" w:rsidRPr="00032FF7" w:rsidRDefault="00A24D7F" w:rsidP="00ED2FAB">
            <w:r w:rsidRPr="00032FF7">
              <w:t>1076</w:t>
            </w:r>
          </w:p>
        </w:tc>
        <w:tc>
          <w:tcPr>
            <w:tcW w:w="2410" w:type="dxa"/>
          </w:tcPr>
          <w:p w14:paraId="6718FFA1" w14:textId="77777777" w:rsidR="00A24D7F" w:rsidRPr="00032FF7" w:rsidRDefault="00A24D7F" w:rsidP="00ED2FAB">
            <w:r>
              <w:t>134 – 148</w:t>
            </w:r>
          </w:p>
        </w:tc>
      </w:tr>
      <w:tr w:rsidR="00A24D7F" w:rsidRPr="00032FF7" w14:paraId="617862EC" w14:textId="77777777" w:rsidTr="00ED2FAB">
        <w:tc>
          <w:tcPr>
            <w:tcW w:w="1809" w:type="dxa"/>
          </w:tcPr>
          <w:p w14:paraId="20FF7DB8" w14:textId="77777777" w:rsidR="00A24D7F" w:rsidRPr="00032FF7" w:rsidRDefault="00A24D7F" w:rsidP="00ED2FAB">
            <w:r w:rsidRPr="00032FF7">
              <w:t>4</w:t>
            </w:r>
          </w:p>
        </w:tc>
        <w:tc>
          <w:tcPr>
            <w:tcW w:w="1418" w:type="dxa"/>
          </w:tcPr>
          <w:p w14:paraId="0486B851" w14:textId="77777777" w:rsidR="00A24D7F" w:rsidRPr="00032FF7" w:rsidRDefault="00A24D7F" w:rsidP="00ED2FAB">
            <w:r w:rsidRPr="00032FF7">
              <w:t>1386</w:t>
            </w:r>
          </w:p>
        </w:tc>
        <w:tc>
          <w:tcPr>
            <w:tcW w:w="2410" w:type="dxa"/>
          </w:tcPr>
          <w:p w14:paraId="3F599EF1" w14:textId="77777777" w:rsidR="00A24D7F" w:rsidRPr="00032FF7" w:rsidRDefault="00A24D7F" w:rsidP="00ED2FAB">
            <w:r w:rsidRPr="00032FF7">
              <w:t>173 -190</w:t>
            </w:r>
          </w:p>
        </w:tc>
        <w:tc>
          <w:tcPr>
            <w:tcW w:w="1275" w:type="dxa"/>
          </w:tcPr>
          <w:p w14:paraId="6C336122" w14:textId="77777777" w:rsidR="00A24D7F" w:rsidRPr="00032FF7" w:rsidRDefault="00A24D7F" w:rsidP="00ED2FAB">
            <w:r w:rsidRPr="00032FF7">
              <w:t>1291</w:t>
            </w:r>
          </w:p>
        </w:tc>
        <w:tc>
          <w:tcPr>
            <w:tcW w:w="2410" w:type="dxa"/>
          </w:tcPr>
          <w:p w14:paraId="0A22508A" w14:textId="77777777" w:rsidR="00A24D7F" w:rsidRPr="00032FF7" w:rsidRDefault="00A24D7F" w:rsidP="00ED2FAB">
            <w:r>
              <w:t>161 – 177</w:t>
            </w:r>
          </w:p>
        </w:tc>
      </w:tr>
      <w:tr w:rsidR="00A24D7F" w:rsidRPr="00032FF7" w14:paraId="270DC235" w14:textId="77777777" w:rsidTr="00ED2FAB">
        <w:tc>
          <w:tcPr>
            <w:tcW w:w="1809" w:type="dxa"/>
          </w:tcPr>
          <w:p w14:paraId="6277D8B1" w14:textId="77777777" w:rsidR="00A24D7F" w:rsidRPr="00032FF7" w:rsidRDefault="00A24D7F" w:rsidP="00ED2FAB">
            <w:r w:rsidRPr="00032FF7">
              <w:t>5</w:t>
            </w:r>
          </w:p>
        </w:tc>
        <w:tc>
          <w:tcPr>
            <w:tcW w:w="1418" w:type="dxa"/>
          </w:tcPr>
          <w:p w14:paraId="2AC0D9CA" w14:textId="77777777" w:rsidR="00A24D7F" w:rsidRPr="00032FF7" w:rsidRDefault="00A24D7F" w:rsidP="00ED2FAB">
            <w:r w:rsidRPr="00032FF7">
              <w:t>1482</w:t>
            </w:r>
          </w:p>
        </w:tc>
        <w:tc>
          <w:tcPr>
            <w:tcW w:w="2410" w:type="dxa"/>
          </w:tcPr>
          <w:p w14:paraId="436FEBE8" w14:textId="77777777" w:rsidR="00A24D7F" w:rsidRPr="00032FF7" w:rsidRDefault="00A24D7F" w:rsidP="00ED2FAB">
            <w:r w:rsidRPr="00032FF7">
              <w:t>185 – 203</w:t>
            </w:r>
          </w:p>
        </w:tc>
        <w:tc>
          <w:tcPr>
            <w:tcW w:w="1275" w:type="dxa"/>
          </w:tcPr>
          <w:p w14:paraId="37B9EEBC" w14:textId="77777777" w:rsidR="00A24D7F" w:rsidRPr="00032FF7" w:rsidRDefault="00A24D7F" w:rsidP="00ED2FAB">
            <w:r w:rsidRPr="00032FF7">
              <w:t>1362</w:t>
            </w:r>
          </w:p>
        </w:tc>
        <w:tc>
          <w:tcPr>
            <w:tcW w:w="2410" w:type="dxa"/>
          </w:tcPr>
          <w:p w14:paraId="730878C3" w14:textId="77777777" w:rsidR="00A24D7F" w:rsidRPr="00032FF7" w:rsidRDefault="00A24D7F" w:rsidP="00ED2FAB">
            <w:r>
              <w:t>170 – 187</w:t>
            </w:r>
          </w:p>
        </w:tc>
      </w:tr>
      <w:tr w:rsidR="00A24D7F" w:rsidRPr="00032FF7" w14:paraId="2B1606A5" w14:textId="77777777" w:rsidTr="00ED2FAB">
        <w:tc>
          <w:tcPr>
            <w:tcW w:w="1809" w:type="dxa"/>
          </w:tcPr>
          <w:p w14:paraId="55E03E59" w14:textId="77777777" w:rsidR="00A24D7F" w:rsidRPr="00032FF7" w:rsidRDefault="00A24D7F" w:rsidP="00ED2FAB">
            <w:r w:rsidRPr="00032FF7">
              <w:t>6</w:t>
            </w:r>
          </w:p>
        </w:tc>
        <w:tc>
          <w:tcPr>
            <w:tcW w:w="1418" w:type="dxa"/>
          </w:tcPr>
          <w:p w14:paraId="16C4C708" w14:textId="77777777" w:rsidR="00A24D7F" w:rsidRPr="00032FF7" w:rsidRDefault="00A24D7F" w:rsidP="00ED2FAB">
            <w:r w:rsidRPr="00032FF7">
              <w:t>1577</w:t>
            </w:r>
          </w:p>
        </w:tc>
        <w:tc>
          <w:tcPr>
            <w:tcW w:w="2410" w:type="dxa"/>
          </w:tcPr>
          <w:p w14:paraId="16144A90" w14:textId="77777777" w:rsidR="00A24D7F" w:rsidRPr="00032FF7" w:rsidRDefault="00A24D7F" w:rsidP="00ED2FAB">
            <w:r w:rsidRPr="00032FF7">
              <w:t>197-217</w:t>
            </w:r>
          </w:p>
        </w:tc>
        <w:tc>
          <w:tcPr>
            <w:tcW w:w="1275" w:type="dxa"/>
          </w:tcPr>
          <w:p w14:paraId="237D22D2" w14:textId="77777777" w:rsidR="00A24D7F" w:rsidRPr="00032FF7" w:rsidRDefault="00A24D7F" w:rsidP="00ED2FAB">
            <w:r w:rsidRPr="00032FF7">
              <w:t>1482</w:t>
            </w:r>
          </w:p>
        </w:tc>
        <w:tc>
          <w:tcPr>
            <w:tcW w:w="2410" w:type="dxa"/>
          </w:tcPr>
          <w:p w14:paraId="12ADA816" w14:textId="77777777" w:rsidR="00A24D7F" w:rsidRPr="00032FF7" w:rsidRDefault="00A24D7F" w:rsidP="00ED2FAB">
            <w:r>
              <w:t>185 – 203</w:t>
            </w:r>
          </w:p>
        </w:tc>
      </w:tr>
      <w:tr w:rsidR="00A24D7F" w:rsidRPr="00032FF7" w14:paraId="7E7F0143" w14:textId="77777777" w:rsidTr="00ED2FAB">
        <w:tc>
          <w:tcPr>
            <w:tcW w:w="1809" w:type="dxa"/>
          </w:tcPr>
          <w:p w14:paraId="0709B9B1" w14:textId="77777777" w:rsidR="00A24D7F" w:rsidRPr="00032FF7" w:rsidRDefault="00A24D7F" w:rsidP="00ED2FAB">
            <w:r w:rsidRPr="00032FF7">
              <w:t>7</w:t>
            </w:r>
          </w:p>
        </w:tc>
        <w:tc>
          <w:tcPr>
            <w:tcW w:w="1418" w:type="dxa"/>
          </w:tcPr>
          <w:p w14:paraId="1B25754C" w14:textId="77777777" w:rsidR="00A24D7F" w:rsidRPr="00032FF7" w:rsidRDefault="00A24D7F" w:rsidP="00ED2FAB">
            <w:r w:rsidRPr="00032FF7">
              <w:t>1649</w:t>
            </w:r>
          </w:p>
        </w:tc>
        <w:tc>
          <w:tcPr>
            <w:tcW w:w="2410" w:type="dxa"/>
          </w:tcPr>
          <w:p w14:paraId="0711AEB8" w14:textId="77777777" w:rsidR="00A24D7F" w:rsidRPr="00032FF7" w:rsidRDefault="00A24D7F" w:rsidP="00ED2FAB">
            <w:r w:rsidRPr="00032FF7">
              <w:t>206 -226</w:t>
            </w:r>
          </w:p>
        </w:tc>
        <w:tc>
          <w:tcPr>
            <w:tcW w:w="1275" w:type="dxa"/>
          </w:tcPr>
          <w:p w14:paraId="4C686E9B" w14:textId="77777777" w:rsidR="00A24D7F" w:rsidRPr="00032FF7" w:rsidRDefault="00A24D7F" w:rsidP="00ED2FAB">
            <w:r w:rsidRPr="00032FF7">
              <w:t>1530</w:t>
            </w:r>
          </w:p>
        </w:tc>
        <w:tc>
          <w:tcPr>
            <w:tcW w:w="2410" w:type="dxa"/>
          </w:tcPr>
          <w:p w14:paraId="5D681F20" w14:textId="77777777" w:rsidR="00A24D7F" w:rsidRPr="00032FF7" w:rsidRDefault="00A24D7F" w:rsidP="00ED2FAB">
            <w:r>
              <w:t>191 – 210</w:t>
            </w:r>
          </w:p>
        </w:tc>
      </w:tr>
      <w:tr w:rsidR="00A24D7F" w:rsidRPr="00032FF7" w14:paraId="6760B65C" w14:textId="77777777" w:rsidTr="00ED2FAB">
        <w:tc>
          <w:tcPr>
            <w:tcW w:w="1809" w:type="dxa"/>
          </w:tcPr>
          <w:p w14:paraId="69606418" w14:textId="77777777" w:rsidR="00A24D7F" w:rsidRPr="00032FF7" w:rsidRDefault="00A24D7F" w:rsidP="00ED2FAB">
            <w:r w:rsidRPr="00032FF7">
              <w:t>8</w:t>
            </w:r>
          </w:p>
        </w:tc>
        <w:tc>
          <w:tcPr>
            <w:tcW w:w="1418" w:type="dxa"/>
          </w:tcPr>
          <w:p w14:paraId="31ECD731" w14:textId="77777777" w:rsidR="00A24D7F" w:rsidRPr="00032FF7" w:rsidRDefault="00A24D7F" w:rsidP="00ED2FAB">
            <w:r w:rsidRPr="00032FF7">
              <w:t>1745</w:t>
            </w:r>
          </w:p>
        </w:tc>
        <w:tc>
          <w:tcPr>
            <w:tcW w:w="2410" w:type="dxa"/>
          </w:tcPr>
          <w:p w14:paraId="660850E9" w14:textId="77777777" w:rsidR="00A24D7F" w:rsidRPr="00032FF7" w:rsidRDefault="00A24D7F" w:rsidP="00ED2FAB">
            <w:r w:rsidRPr="00032FF7">
              <w:t>218 – 240</w:t>
            </w:r>
          </w:p>
        </w:tc>
        <w:tc>
          <w:tcPr>
            <w:tcW w:w="1275" w:type="dxa"/>
          </w:tcPr>
          <w:p w14:paraId="6814D9E0" w14:textId="77777777" w:rsidR="00A24D7F" w:rsidRPr="00032FF7" w:rsidRDefault="00A24D7F" w:rsidP="00ED2FAB">
            <w:r w:rsidRPr="00032FF7">
              <w:t>1625</w:t>
            </w:r>
          </w:p>
        </w:tc>
        <w:tc>
          <w:tcPr>
            <w:tcW w:w="2410" w:type="dxa"/>
          </w:tcPr>
          <w:p w14:paraId="02F76169" w14:textId="77777777" w:rsidR="00A24D7F" w:rsidRPr="00032FF7" w:rsidRDefault="00A24D7F" w:rsidP="00ED2FAB">
            <w:r>
              <w:t>203 – 223</w:t>
            </w:r>
          </w:p>
        </w:tc>
      </w:tr>
      <w:tr w:rsidR="00A24D7F" w:rsidRPr="00032FF7" w14:paraId="268BEE23" w14:textId="77777777" w:rsidTr="00ED2FAB">
        <w:tc>
          <w:tcPr>
            <w:tcW w:w="1809" w:type="dxa"/>
          </w:tcPr>
          <w:p w14:paraId="0440D0A1" w14:textId="77777777" w:rsidR="00A24D7F" w:rsidRPr="00032FF7" w:rsidRDefault="00A24D7F" w:rsidP="00ED2FAB">
            <w:r w:rsidRPr="00032FF7">
              <w:t>9</w:t>
            </w:r>
          </w:p>
        </w:tc>
        <w:tc>
          <w:tcPr>
            <w:tcW w:w="1418" w:type="dxa"/>
          </w:tcPr>
          <w:p w14:paraId="45905581" w14:textId="77777777" w:rsidR="00A24D7F" w:rsidRPr="00032FF7" w:rsidRDefault="00A24D7F" w:rsidP="00ED2FAB">
            <w:r w:rsidRPr="00032FF7">
              <w:t>1840</w:t>
            </w:r>
          </w:p>
        </w:tc>
        <w:tc>
          <w:tcPr>
            <w:tcW w:w="2410" w:type="dxa"/>
          </w:tcPr>
          <w:p w14:paraId="4D2D055D" w14:textId="77777777" w:rsidR="00A24D7F" w:rsidRPr="00032FF7" w:rsidRDefault="00A24D7F" w:rsidP="00ED2FAB">
            <w:r w:rsidRPr="00032FF7">
              <w:t>230 – 253</w:t>
            </w:r>
          </w:p>
        </w:tc>
        <w:tc>
          <w:tcPr>
            <w:tcW w:w="1275" w:type="dxa"/>
          </w:tcPr>
          <w:p w14:paraId="53338FE9" w14:textId="77777777" w:rsidR="00A24D7F" w:rsidRPr="00032FF7" w:rsidRDefault="00A24D7F" w:rsidP="00ED2FAB">
            <w:r w:rsidRPr="00032FF7">
              <w:t>1721</w:t>
            </w:r>
          </w:p>
        </w:tc>
        <w:tc>
          <w:tcPr>
            <w:tcW w:w="2410" w:type="dxa"/>
          </w:tcPr>
          <w:p w14:paraId="7C24B049" w14:textId="77777777" w:rsidR="00A24D7F" w:rsidRPr="00032FF7" w:rsidRDefault="00A24D7F" w:rsidP="00ED2FAB">
            <w:r>
              <w:t>215 – 237</w:t>
            </w:r>
          </w:p>
        </w:tc>
      </w:tr>
      <w:tr w:rsidR="00A24D7F" w:rsidRPr="00032FF7" w14:paraId="627E2BC5" w14:textId="77777777" w:rsidTr="00ED2FAB">
        <w:tc>
          <w:tcPr>
            <w:tcW w:w="1809" w:type="dxa"/>
          </w:tcPr>
          <w:p w14:paraId="613B73E1" w14:textId="77777777" w:rsidR="00A24D7F" w:rsidRPr="00032FF7" w:rsidRDefault="00A24D7F" w:rsidP="00ED2FAB">
            <w:r w:rsidRPr="00032FF7">
              <w:t>10</w:t>
            </w:r>
          </w:p>
        </w:tc>
        <w:tc>
          <w:tcPr>
            <w:tcW w:w="1418" w:type="dxa"/>
          </w:tcPr>
          <w:p w14:paraId="40D95D4C" w14:textId="77777777" w:rsidR="00A24D7F" w:rsidRPr="00032FF7" w:rsidRDefault="00A24D7F" w:rsidP="00ED2FAB">
            <w:r w:rsidRPr="00032FF7">
              <w:t>2032</w:t>
            </w:r>
          </w:p>
        </w:tc>
        <w:tc>
          <w:tcPr>
            <w:tcW w:w="2410" w:type="dxa"/>
          </w:tcPr>
          <w:p w14:paraId="6DDD0F4A" w14:textId="77777777" w:rsidR="00A24D7F" w:rsidRPr="00032FF7" w:rsidRDefault="00A24D7F" w:rsidP="00ED2FAB">
            <w:r w:rsidRPr="00032FF7">
              <w:t>254 – 279</w:t>
            </w:r>
          </w:p>
        </w:tc>
        <w:tc>
          <w:tcPr>
            <w:tcW w:w="1275" w:type="dxa"/>
          </w:tcPr>
          <w:p w14:paraId="54A06C30" w14:textId="77777777" w:rsidR="00A24D7F" w:rsidRPr="00032FF7" w:rsidRDefault="00A24D7F" w:rsidP="00ED2FAB">
            <w:r w:rsidRPr="00032FF7">
              <w:t>1936</w:t>
            </w:r>
          </w:p>
        </w:tc>
        <w:tc>
          <w:tcPr>
            <w:tcW w:w="2410" w:type="dxa"/>
          </w:tcPr>
          <w:p w14:paraId="29635344" w14:textId="77777777" w:rsidR="00A24D7F" w:rsidRPr="00032FF7" w:rsidRDefault="00A24D7F" w:rsidP="00ED2FAB">
            <w:r>
              <w:t>242 – 266</w:t>
            </w:r>
          </w:p>
        </w:tc>
      </w:tr>
      <w:tr w:rsidR="00A24D7F" w:rsidRPr="00032FF7" w14:paraId="4E6002ED" w14:textId="77777777" w:rsidTr="00ED2FAB">
        <w:tc>
          <w:tcPr>
            <w:tcW w:w="1809" w:type="dxa"/>
          </w:tcPr>
          <w:p w14:paraId="1D621D21" w14:textId="77777777" w:rsidR="00A24D7F" w:rsidRPr="00032FF7" w:rsidRDefault="00A24D7F" w:rsidP="00ED2FAB">
            <w:r w:rsidRPr="00032FF7">
              <w:t>11</w:t>
            </w:r>
          </w:p>
        </w:tc>
        <w:tc>
          <w:tcPr>
            <w:tcW w:w="1418" w:type="dxa"/>
          </w:tcPr>
          <w:p w14:paraId="5804386E" w14:textId="77777777" w:rsidR="00A24D7F" w:rsidRPr="00032FF7" w:rsidRDefault="00A24D7F" w:rsidP="00ED2FAB">
            <w:r w:rsidRPr="00032FF7">
              <w:t>2127</w:t>
            </w:r>
          </w:p>
        </w:tc>
        <w:tc>
          <w:tcPr>
            <w:tcW w:w="2410" w:type="dxa"/>
          </w:tcPr>
          <w:p w14:paraId="34F5ABB4" w14:textId="77777777" w:rsidR="00A24D7F" w:rsidRPr="00032FF7" w:rsidRDefault="00A24D7F" w:rsidP="00ED2FAB">
            <w:r w:rsidRPr="00032FF7">
              <w:t>266 -292</w:t>
            </w:r>
          </w:p>
        </w:tc>
        <w:tc>
          <w:tcPr>
            <w:tcW w:w="1275" w:type="dxa"/>
          </w:tcPr>
          <w:p w14:paraId="4FC8E6C4" w14:textId="77777777" w:rsidR="00A24D7F" w:rsidRPr="00032FF7" w:rsidRDefault="00A24D7F" w:rsidP="00ED2FAB">
            <w:r w:rsidRPr="00032FF7">
              <w:t>2023</w:t>
            </w:r>
          </w:p>
        </w:tc>
        <w:tc>
          <w:tcPr>
            <w:tcW w:w="2410" w:type="dxa"/>
          </w:tcPr>
          <w:p w14:paraId="6949C6E4" w14:textId="77777777" w:rsidR="00A24D7F" w:rsidRPr="00032FF7" w:rsidRDefault="00A24D7F" w:rsidP="00ED2FAB">
            <w:r>
              <w:t>252 – 278</w:t>
            </w:r>
          </w:p>
        </w:tc>
      </w:tr>
      <w:tr w:rsidR="00A24D7F" w:rsidRPr="00032FF7" w14:paraId="73CA8C76" w14:textId="77777777" w:rsidTr="00ED2FAB">
        <w:tc>
          <w:tcPr>
            <w:tcW w:w="1809" w:type="dxa"/>
          </w:tcPr>
          <w:p w14:paraId="545D1FBA" w14:textId="77777777" w:rsidR="00A24D7F" w:rsidRPr="00032FF7" w:rsidRDefault="00A24D7F" w:rsidP="00ED2FAB">
            <w:r w:rsidRPr="00032FF7">
              <w:t>12</w:t>
            </w:r>
          </w:p>
        </w:tc>
        <w:tc>
          <w:tcPr>
            <w:tcW w:w="1418" w:type="dxa"/>
          </w:tcPr>
          <w:p w14:paraId="1397166A" w14:textId="77777777" w:rsidR="00A24D7F" w:rsidRPr="00032FF7" w:rsidRDefault="00A24D7F" w:rsidP="00ED2FAB">
            <w:r w:rsidRPr="00032FF7">
              <w:t>2247</w:t>
            </w:r>
          </w:p>
        </w:tc>
        <w:tc>
          <w:tcPr>
            <w:tcW w:w="2410" w:type="dxa"/>
          </w:tcPr>
          <w:p w14:paraId="26438CF1" w14:textId="77777777" w:rsidR="00A24D7F" w:rsidRPr="00032FF7" w:rsidRDefault="00A24D7F" w:rsidP="00ED2FAB">
            <w:r w:rsidRPr="00032FF7">
              <w:t>280 – 309</w:t>
            </w:r>
          </w:p>
        </w:tc>
        <w:tc>
          <w:tcPr>
            <w:tcW w:w="1275" w:type="dxa"/>
          </w:tcPr>
          <w:p w14:paraId="0882C861" w14:textId="77777777" w:rsidR="00A24D7F" w:rsidRPr="00032FF7" w:rsidRDefault="00A24D7F" w:rsidP="00ED2FAB">
            <w:r w:rsidRPr="00032FF7">
              <w:t>2103</w:t>
            </w:r>
          </w:p>
        </w:tc>
        <w:tc>
          <w:tcPr>
            <w:tcW w:w="2410" w:type="dxa"/>
          </w:tcPr>
          <w:p w14:paraId="1C4DE803" w14:textId="77777777" w:rsidR="00A24D7F" w:rsidRPr="00032FF7" w:rsidRDefault="00A24D7F" w:rsidP="00ED2FAB">
            <w:r>
              <w:t>262 – 289</w:t>
            </w:r>
          </w:p>
        </w:tc>
      </w:tr>
      <w:tr w:rsidR="00A24D7F" w:rsidRPr="00032FF7" w14:paraId="4DBAF967" w14:textId="77777777" w:rsidTr="00ED2FAB">
        <w:tc>
          <w:tcPr>
            <w:tcW w:w="1809" w:type="dxa"/>
          </w:tcPr>
          <w:p w14:paraId="3C7B6EBF" w14:textId="77777777" w:rsidR="00A24D7F" w:rsidRPr="00032FF7" w:rsidRDefault="00A24D7F" w:rsidP="00ED2FAB">
            <w:r w:rsidRPr="00032FF7">
              <w:lastRenderedPageBreak/>
              <w:t>13</w:t>
            </w:r>
          </w:p>
        </w:tc>
        <w:tc>
          <w:tcPr>
            <w:tcW w:w="1418" w:type="dxa"/>
          </w:tcPr>
          <w:p w14:paraId="6654742B" w14:textId="77777777" w:rsidR="00A24D7F" w:rsidRPr="00032FF7" w:rsidRDefault="00A24D7F" w:rsidP="00ED2FAB">
            <w:r w:rsidRPr="00032FF7">
              <w:t>2414</w:t>
            </w:r>
          </w:p>
        </w:tc>
        <w:tc>
          <w:tcPr>
            <w:tcW w:w="2410" w:type="dxa"/>
          </w:tcPr>
          <w:p w14:paraId="50F98D35" w14:textId="77777777" w:rsidR="00A24D7F" w:rsidRPr="00032FF7" w:rsidRDefault="00A24D7F" w:rsidP="00ED2FAB">
            <w:r w:rsidRPr="00032FF7">
              <w:t>301 – 331</w:t>
            </w:r>
          </w:p>
        </w:tc>
        <w:tc>
          <w:tcPr>
            <w:tcW w:w="1275" w:type="dxa"/>
          </w:tcPr>
          <w:p w14:paraId="10AB0033" w14:textId="77777777" w:rsidR="00A24D7F" w:rsidRPr="00032FF7" w:rsidRDefault="00A24D7F" w:rsidP="00ED2FAB">
            <w:r w:rsidRPr="00032FF7">
              <w:t>2223</w:t>
            </w:r>
          </w:p>
        </w:tc>
        <w:tc>
          <w:tcPr>
            <w:tcW w:w="2410" w:type="dxa"/>
          </w:tcPr>
          <w:p w14:paraId="0B33651E" w14:textId="77777777" w:rsidR="00A24D7F" w:rsidRPr="00032FF7" w:rsidRDefault="00A24D7F" w:rsidP="00ED2FAB">
            <w:r>
              <w:t>278 – 306</w:t>
            </w:r>
          </w:p>
        </w:tc>
      </w:tr>
      <w:tr w:rsidR="00A24D7F" w:rsidRPr="00032FF7" w14:paraId="183F262F" w14:textId="77777777" w:rsidTr="00ED2FAB">
        <w:tc>
          <w:tcPr>
            <w:tcW w:w="1809" w:type="dxa"/>
          </w:tcPr>
          <w:p w14:paraId="18FEC587" w14:textId="77777777" w:rsidR="00A24D7F" w:rsidRPr="00032FF7" w:rsidRDefault="00A24D7F" w:rsidP="00ED2FAB">
            <w:r w:rsidRPr="00032FF7">
              <w:t>14</w:t>
            </w:r>
          </w:p>
        </w:tc>
        <w:tc>
          <w:tcPr>
            <w:tcW w:w="1418" w:type="dxa"/>
          </w:tcPr>
          <w:p w14:paraId="00EC8F1C" w14:textId="77777777" w:rsidR="00A24D7F" w:rsidRPr="00032FF7" w:rsidRDefault="00A24D7F" w:rsidP="00ED2FAB">
            <w:r w:rsidRPr="00032FF7">
              <w:t>2629</w:t>
            </w:r>
          </w:p>
        </w:tc>
        <w:tc>
          <w:tcPr>
            <w:tcW w:w="2410" w:type="dxa"/>
          </w:tcPr>
          <w:p w14:paraId="0E3AC818" w14:textId="77777777" w:rsidR="00A24D7F" w:rsidRPr="00032FF7" w:rsidRDefault="00A24D7F" w:rsidP="00ED2FAB">
            <w:r w:rsidRPr="00032FF7">
              <w:t>328 – 361</w:t>
            </w:r>
          </w:p>
        </w:tc>
        <w:tc>
          <w:tcPr>
            <w:tcW w:w="1275" w:type="dxa"/>
          </w:tcPr>
          <w:p w14:paraId="001AE690" w14:textId="77777777" w:rsidR="00A24D7F" w:rsidRPr="00032FF7" w:rsidRDefault="00A24D7F" w:rsidP="00ED2FAB">
            <w:r w:rsidRPr="00032FF7">
              <w:t>2343</w:t>
            </w:r>
          </w:p>
        </w:tc>
        <w:tc>
          <w:tcPr>
            <w:tcW w:w="2410" w:type="dxa"/>
          </w:tcPr>
          <w:p w14:paraId="230BD6E0" w14:textId="77777777" w:rsidR="00A24D7F" w:rsidRPr="00032FF7" w:rsidRDefault="00A24D7F" w:rsidP="00ED2FAB">
            <w:r>
              <w:t>293 – 322</w:t>
            </w:r>
          </w:p>
        </w:tc>
      </w:tr>
      <w:tr w:rsidR="00A24D7F" w:rsidRPr="00032FF7" w14:paraId="2E9DAE80" w14:textId="77777777" w:rsidTr="00ED2FAB">
        <w:tc>
          <w:tcPr>
            <w:tcW w:w="1809" w:type="dxa"/>
          </w:tcPr>
          <w:p w14:paraId="49A89847" w14:textId="77777777" w:rsidR="00A24D7F" w:rsidRPr="00032FF7" w:rsidRDefault="00A24D7F" w:rsidP="00ED2FAB">
            <w:r w:rsidRPr="00032FF7">
              <w:t>15</w:t>
            </w:r>
          </w:p>
        </w:tc>
        <w:tc>
          <w:tcPr>
            <w:tcW w:w="1418" w:type="dxa"/>
          </w:tcPr>
          <w:p w14:paraId="63E6AAA7" w14:textId="77777777" w:rsidR="00A24D7F" w:rsidRPr="00032FF7" w:rsidRDefault="00A24D7F" w:rsidP="00ED2FAB">
            <w:r w:rsidRPr="00032FF7">
              <w:t>2820</w:t>
            </w:r>
          </w:p>
        </w:tc>
        <w:tc>
          <w:tcPr>
            <w:tcW w:w="2410" w:type="dxa"/>
          </w:tcPr>
          <w:p w14:paraId="232DBC82" w14:textId="77777777" w:rsidR="00A24D7F" w:rsidRPr="00032FF7" w:rsidRDefault="00A24D7F" w:rsidP="00ED2FAB">
            <w:r w:rsidRPr="00032FF7">
              <w:t>352 – 387</w:t>
            </w:r>
          </w:p>
        </w:tc>
        <w:tc>
          <w:tcPr>
            <w:tcW w:w="1275" w:type="dxa"/>
          </w:tcPr>
          <w:p w14:paraId="2CA59A06" w14:textId="77777777" w:rsidR="00A24D7F" w:rsidRPr="00032FF7" w:rsidRDefault="00A24D7F" w:rsidP="00ED2FAB">
            <w:r w:rsidRPr="00032FF7">
              <w:t>2390</w:t>
            </w:r>
          </w:p>
        </w:tc>
        <w:tc>
          <w:tcPr>
            <w:tcW w:w="2410" w:type="dxa"/>
          </w:tcPr>
          <w:p w14:paraId="6812A701" w14:textId="77777777" w:rsidR="00A24D7F" w:rsidRPr="00032FF7" w:rsidRDefault="00A24D7F" w:rsidP="00ED2FAB">
            <w:r w:rsidRPr="00032FF7">
              <w:t>298</w:t>
            </w:r>
            <w:r>
              <w:t xml:space="preserve"> – 328</w:t>
            </w:r>
          </w:p>
        </w:tc>
      </w:tr>
      <w:tr w:rsidR="00A24D7F" w:rsidRPr="00032FF7" w14:paraId="61345752" w14:textId="77777777" w:rsidTr="00ED2FAB">
        <w:tc>
          <w:tcPr>
            <w:tcW w:w="1809" w:type="dxa"/>
          </w:tcPr>
          <w:p w14:paraId="723C35DF" w14:textId="77777777" w:rsidR="00A24D7F" w:rsidRPr="00032FF7" w:rsidRDefault="00A24D7F" w:rsidP="00ED2FAB">
            <w:r w:rsidRPr="00032FF7">
              <w:t>16</w:t>
            </w:r>
          </w:p>
        </w:tc>
        <w:tc>
          <w:tcPr>
            <w:tcW w:w="1418" w:type="dxa"/>
          </w:tcPr>
          <w:p w14:paraId="0AEB8FE5" w14:textId="77777777" w:rsidR="00A24D7F" w:rsidRPr="00032FF7" w:rsidRDefault="00A24D7F" w:rsidP="00ED2FAB">
            <w:r w:rsidRPr="00032FF7">
              <w:t>2964</w:t>
            </w:r>
          </w:p>
        </w:tc>
        <w:tc>
          <w:tcPr>
            <w:tcW w:w="2410" w:type="dxa"/>
          </w:tcPr>
          <w:p w14:paraId="09FBFC9E" w14:textId="77777777" w:rsidR="00A24D7F" w:rsidRPr="00032FF7" w:rsidRDefault="00A24D7F" w:rsidP="00ED2FAB">
            <w:r w:rsidRPr="00032FF7">
              <w:t>370 – 407</w:t>
            </w:r>
          </w:p>
        </w:tc>
        <w:tc>
          <w:tcPr>
            <w:tcW w:w="1275" w:type="dxa"/>
          </w:tcPr>
          <w:p w14:paraId="2316E442" w14:textId="77777777" w:rsidR="00A24D7F" w:rsidRPr="00032FF7" w:rsidRDefault="00A24D7F" w:rsidP="00ED2FAB">
            <w:r w:rsidRPr="00032FF7">
              <w:t>2414</w:t>
            </w:r>
          </w:p>
        </w:tc>
        <w:tc>
          <w:tcPr>
            <w:tcW w:w="2410" w:type="dxa"/>
          </w:tcPr>
          <w:p w14:paraId="403F8DEB" w14:textId="77777777" w:rsidR="00A24D7F" w:rsidRPr="00032FF7" w:rsidRDefault="00A24D7F" w:rsidP="00ED2FAB">
            <w:r>
              <w:t>301 – 332</w:t>
            </w:r>
          </w:p>
        </w:tc>
      </w:tr>
      <w:tr w:rsidR="00A24D7F" w:rsidRPr="00032FF7" w14:paraId="5F77829F" w14:textId="77777777" w:rsidTr="00ED2FAB">
        <w:tc>
          <w:tcPr>
            <w:tcW w:w="1809" w:type="dxa"/>
          </w:tcPr>
          <w:p w14:paraId="3006D4A9" w14:textId="77777777" w:rsidR="00A24D7F" w:rsidRPr="00032FF7" w:rsidRDefault="00A24D7F" w:rsidP="00ED2FAB">
            <w:r w:rsidRPr="00032FF7">
              <w:t>17</w:t>
            </w:r>
          </w:p>
        </w:tc>
        <w:tc>
          <w:tcPr>
            <w:tcW w:w="1418" w:type="dxa"/>
          </w:tcPr>
          <w:p w14:paraId="11191224" w14:textId="77777777" w:rsidR="00A24D7F" w:rsidRPr="00032FF7" w:rsidRDefault="00A24D7F" w:rsidP="00ED2FAB">
            <w:r w:rsidRPr="00032FF7">
              <w:t>3083</w:t>
            </w:r>
          </w:p>
        </w:tc>
        <w:tc>
          <w:tcPr>
            <w:tcW w:w="2410" w:type="dxa"/>
          </w:tcPr>
          <w:p w14:paraId="09D9B225" w14:textId="77777777" w:rsidR="00A24D7F" w:rsidRPr="00032FF7" w:rsidRDefault="00A24D7F" w:rsidP="00ED2FAB">
            <w:r w:rsidRPr="00032FF7">
              <w:t>385 – 423</w:t>
            </w:r>
          </w:p>
        </w:tc>
        <w:tc>
          <w:tcPr>
            <w:tcW w:w="1275" w:type="dxa"/>
          </w:tcPr>
          <w:p w14:paraId="7F93D85B" w14:textId="77777777" w:rsidR="00A24D7F" w:rsidRPr="00032FF7" w:rsidRDefault="00A24D7F" w:rsidP="00ED2FAB">
            <w:r w:rsidRPr="00032FF7">
              <w:t>2462</w:t>
            </w:r>
          </w:p>
        </w:tc>
        <w:tc>
          <w:tcPr>
            <w:tcW w:w="2410" w:type="dxa"/>
          </w:tcPr>
          <w:p w14:paraId="65E00D9F" w14:textId="77777777" w:rsidR="00A24D7F" w:rsidRPr="00032FF7" w:rsidRDefault="00A24D7F" w:rsidP="00ED2FAB">
            <w:r>
              <w:t>308 – 339</w:t>
            </w:r>
          </w:p>
        </w:tc>
      </w:tr>
      <w:tr w:rsidR="00A24D7F" w:rsidRPr="00032FF7" w14:paraId="582BE70D" w14:textId="77777777" w:rsidTr="00ED2FAB">
        <w:tc>
          <w:tcPr>
            <w:tcW w:w="1809" w:type="dxa"/>
          </w:tcPr>
          <w:p w14:paraId="06DB0341" w14:textId="77777777" w:rsidR="00A24D7F" w:rsidRPr="00032FF7" w:rsidRDefault="00A24D7F" w:rsidP="00ED2FAB">
            <w:r w:rsidRPr="00032FF7">
              <w:t>18</w:t>
            </w:r>
          </w:p>
        </w:tc>
        <w:tc>
          <w:tcPr>
            <w:tcW w:w="1418" w:type="dxa"/>
          </w:tcPr>
          <w:p w14:paraId="1B1880E6" w14:textId="77777777" w:rsidR="00A24D7F" w:rsidRPr="00032FF7" w:rsidRDefault="00A24D7F" w:rsidP="00ED2FAB">
            <w:r w:rsidRPr="00032FF7">
              <w:t>3155</w:t>
            </w:r>
          </w:p>
        </w:tc>
        <w:tc>
          <w:tcPr>
            <w:tcW w:w="2410" w:type="dxa"/>
          </w:tcPr>
          <w:p w14:paraId="1615B872" w14:textId="77777777" w:rsidR="00A24D7F" w:rsidRPr="00032FF7" w:rsidRDefault="00A24D7F" w:rsidP="00ED2FAB">
            <w:r w:rsidRPr="00032FF7">
              <w:t>394 - 433</w:t>
            </w:r>
          </w:p>
        </w:tc>
        <w:tc>
          <w:tcPr>
            <w:tcW w:w="1275" w:type="dxa"/>
          </w:tcPr>
          <w:p w14:paraId="5A51AC6D" w14:textId="77777777" w:rsidR="00A24D7F" w:rsidRPr="00032FF7" w:rsidRDefault="00A24D7F" w:rsidP="00ED2FAB">
            <w:r w:rsidRPr="00032FF7">
              <w:t>2462</w:t>
            </w:r>
          </w:p>
        </w:tc>
        <w:tc>
          <w:tcPr>
            <w:tcW w:w="2410" w:type="dxa"/>
          </w:tcPr>
          <w:p w14:paraId="0A50C896" w14:textId="77777777" w:rsidR="00A24D7F" w:rsidRPr="00032FF7" w:rsidRDefault="00A24D7F" w:rsidP="00ED2FAB">
            <w:r>
              <w:t>308 - 339</w:t>
            </w:r>
          </w:p>
        </w:tc>
      </w:tr>
    </w:tbl>
    <w:p w14:paraId="16DA1904" w14:textId="77777777" w:rsidR="00A24D7F" w:rsidRDefault="00A24D7F" w:rsidP="00A24D7F"/>
    <w:p w14:paraId="58F06F8C" w14:textId="52B40C49" w:rsidR="007B22EE" w:rsidRPr="00A24D7F" w:rsidRDefault="007B22EE" w:rsidP="007B22EE">
      <w:pPr>
        <w:pStyle w:val="ListParagraph"/>
        <w:numPr>
          <w:ilvl w:val="0"/>
          <w:numId w:val="8"/>
        </w:numPr>
        <w:rPr>
          <w:b/>
          <w:bCs/>
          <w:color w:val="548DD4" w:themeColor="text2" w:themeTint="99"/>
          <w:sz w:val="32"/>
          <w:szCs w:val="32"/>
        </w:rPr>
      </w:pPr>
      <w:r w:rsidRPr="00A24D7F">
        <w:rPr>
          <w:b/>
          <w:bCs/>
          <w:color w:val="548DD4" w:themeColor="text2" w:themeTint="99"/>
          <w:sz w:val="32"/>
          <w:szCs w:val="32"/>
        </w:rPr>
        <w:t>Further resources</w:t>
      </w:r>
    </w:p>
    <w:p w14:paraId="796BCBE7" w14:textId="6785BE00" w:rsidR="00A33946" w:rsidRDefault="004C1F4B" w:rsidP="005945F6">
      <w:hyperlink r:id="rId19" w:history="1">
        <w:r w:rsidR="004B6B27" w:rsidRPr="00067B59">
          <w:rPr>
            <w:rStyle w:val="Hyperlink"/>
          </w:rPr>
          <w:t>www.nhs.uk/better-health/lose-weight/</w:t>
        </w:r>
      </w:hyperlink>
    </w:p>
    <w:p w14:paraId="56442FA9" w14:textId="571CB6E0" w:rsidR="004B6B27" w:rsidRDefault="004C1F4B" w:rsidP="005945F6">
      <w:hyperlink r:id="rId20" w:history="1">
        <w:r w:rsidR="004B6B27" w:rsidRPr="00067B59">
          <w:rPr>
            <w:rStyle w:val="Hyperlink"/>
          </w:rPr>
          <w:t>www.nhs.uk/healthier-families/</w:t>
        </w:r>
      </w:hyperlink>
    </w:p>
    <w:p w14:paraId="75C999CB" w14:textId="34DB0C2B" w:rsidR="004B6B27" w:rsidRDefault="004C1F4B" w:rsidP="005945F6">
      <w:hyperlink r:id="rId21" w:history="1">
        <w:r w:rsidR="004B6B27" w:rsidRPr="00067B59">
          <w:rPr>
            <w:rStyle w:val="Hyperlink"/>
          </w:rPr>
          <w:t>www.nhs.uk/live-well/eat-well/the-eatwell-guide</w:t>
        </w:r>
      </w:hyperlink>
    </w:p>
    <w:p w14:paraId="37A74FCD" w14:textId="567A820F" w:rsidR="004B6B27" w:rsidRDefault="004C1F4B" w:rsidP="005945F6">
      <w:hyperlink r:id="rId22" w:history="1">
        <w:r w:rsidR="00A24D7F" w:rsidRPr="00067B59">
          <w:rPr>
            <w:rStyle w:val="Hyperlink"/>
          </w:rPr>
          <w:t>www.parkrun.org.uk</w:t>
        </w:r>
      </w:hyperlink>
    </w:p>
    <w:p w14:paraId="79A8DF3B" w14:textId="02ED611B" w:rsidR="00A24D7F" w:rsidRDefault="004C1F4B" w:rsidP="005945F6">
      <w:hyperlink r:id="rId23" w:history="1">
        <w:r w:rsidR="00A24D7F" w:rsidRPr="00067B59">
          <w:rPr>
            <w:rStyle w:val="Hyperlink"/>
          </w:rPr>
          <w:t>www.marathonkids.co.uk</w:t>
        </w:r>
      </w:hyperlink>
    </w:p>
    <w:p w14:paraId="0E9C56ED" w14:textId="77777777" w:rsidR="00A24D7F" w:rsidRDefault="00A24D7F" w:rsidP="005945F6"/>
    <w:sectPr w:rsidR="00A24D7F">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6BD5" w14:textId="77777777" w:rsidR="00C70E92" w:rsidRDefault="00C70E92" w:rsidP="00C70E92">
      <w:pPr>
        <w:spacing w:after="0" w:line="240" w:lineRule="auto"/>
      </w:pPr>
      <w:r>
        <w:separator/>
      </w:r>
    </w:p>
  </w:endnote>
  <w:endnote w:type="continuationSeparator" w:id="0">
    <w:p w14:paraId="7D75B8CD" w14:textId="77777777" w:rsidR="00C70E92" w:rsidRDefault="00C70E92" w:rsidP="00C7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9F3E" w14:textId="77777777" w:rsidR="00C70E92" w:rsidRDefault="00C70E92" w:rsidP="00C70E92">
      <w:pPr>
        <w:spacing w:after="0" w:line="240" w:lineRule="auto"/>
      </w:pPr>
      <w:r>
        <w:separator/>
      </w:r>
    </w:p>
  </w:footnote>
  <w:footnote w:type="continuationSeparator" w:id="0">
    <w:p w14:paraId="4ADD4AB0" w14:textId="77777777" w:rsidR="00C70E92" w:rsidRDefault="00C70E92" w:rsidP="00C70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F039" w14:textId="4CEBECCD" w:rsidR="00C70E92" w:rsidRDefault="00C70E92" w:rsidP="00C70E92">
    <w:pPr>
      <w:pStyle w:val="Header"/>
      <w:jc w:val="right"/>
    </w:pPr>
    <w:r>
      <w:rPr>
        <w:noProof/>
      </w:rPr>
      <w:drawing>
        <wp:inline distT="0" distB="0" distL="0" distR="0" wp14:anchorId="5A0EB79D" wp14:editId="01A6DB47">
          <wp:extent cx="1738839" cy="327896"/>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95" cy="331338"/>
                  </a:xfrm>
                  <a:prstGeom prst="rect">
                    <a:avLst/>
                  </a:prstGeom>
                  <a:noFill/>
                  <a:ln>
                    <a:noFill/>
                  </a:ln>
                </pic:spPr>
              </pic:pic>
            </a:graphicData>
          </a:graphic>
        </wp:inline>
      </w:drawing>
    </w:r>
  </w:p>
  <w:p w14:paraId="4F595CD0" w14:textId="3FC7CFD7" w:rsidR="00C70E92" w:rsidRDefault="00C70E92" w:rsidP="00C70E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01E"/>
    <w:multiLevelType w:val="hybridMultilevel"/>
    <w:tmpl w:val="9FCC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6D32"/>
    <w:multiLevelType w:val="hybridMultilevel"/>
    <w:tmpl w:val="C2441C66"/>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 w15:restartNumberingAfterBreak="0">
    <w:nsid w:val="0EF90A98"/>
    <w:multiLevelType w:val="hybridMultilevel"/>
    <w:tmpl w:val="57AE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6BBC"/>
    <w:multiLevelType w:val="hybridMultilevel"/>
    <w:tmpl w:val="BDB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A4825"/>
    <w:multiLevelType w:val="hybridMultilevel"/>
    <w:tmpl w:val="0D92F350"/>
    <w:lvl w:ilvl="0" w:tplc="F0B4D8AE">
      <w:start w:val="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13E19"/>
    <w:multiLevelType w:val="hybridMultilevel"/>
    <w:tmpl w:val="7FB8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96464"/>
    <w:multiLevelType w:val="hybridMultilevel"/>
    <w:tmpl w:val="28B0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49C6"/>
    <w:multiLevelType w:val="hybridMultilevel"/>
    <w:tmpl w:val="FB42D1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D3E50"/>
    <w:multiLevelType w:val="hybridMultilevel"/>
    <w:tmpl w:val="410CBA56"/>
    <w:lvl w:ilvl="0" w:tplc="F0B4D8AE">
      <w:start w:val="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B780E"/>
    <w:multiLevelType w:val="hybridMultilevel"/>
    <w:tmpl w:val="2E7EDBDC"/>
    <w:lvl w:ilvl="0" w:tplc="0FD024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70C5C"/>
    <w:multiLevelType w:val="hybridMultilevel"/>
    <w:tmpl w:val="DA5ED8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53819"/>
    <w:multiLevelType w:val="hybridMultilevel"/>
    <w:tmpl w:val="D084D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AB7B18"/>
    <w:multiLevelType w:val="hybridMultilevel"/>
    <w:tmpl w:val="DEFA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268FB"/>
    <w:multiLevelType w:val="hybridMultilevel"/>
    <w:tmpl w:val="E358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65103"/>
    <w:multiLevelType w:val="hybridMultilevel"/>
    <w:tmpl w:val="C3B2003C"/>
    <w:lvl w:ilvl="0" w:tplc="F0B4D8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165812">
    <w:abstractNumId w:val="9"/>
  </w:num>
  <w:num w:numId="2" w16cid:durableId="1820031159">
    <w:abstractNumId w:val="10"/>
  </w:num>
  <w:num w:numId="3" w16cid:durableId="545215176">
    <w:abstractNumId w:val="8"/>
  </w:num>
  <w:num w:numId="4" w16cid:durableId="936863287">
    <w:abstractNumId w:val="12"/>
  </w:num>
  <w:num w:numId="5" w16cid:durableId="1305433575">
    <w:abstractNumId w:val="2"/>
  </w:num>
  <w:num w:numId="6" w16cid:durableId="667638259">
    <w:abstractNumId w:val="14"/>
  </w:num>
  <w:num w:numId="7" w16cid:durableId="84887552">
    <w:abstractNumId w:val="4"/>
  </w:num>
  <w:num w:numId="8" w16cid:durableId="1214850959">
    <w:abstractNumId w:val="7"/>
  </w:num>
  <w:num w:numId="9" w16cid:durableId="1657101620">
    <w:abstractNumId w:val="3"/>
  </w:num>
  <w:num w:numId="10" w16cid:durableId="138697773">
    <w:abstractNumId w:val="0"/>
  </w:num>
  <w:num w:numId="11" w16cid:durableId="1928734697">
    <w:abstractNumId w:val="11"/>
  </w:num>
  <w:num w:numId="12" w16cid:durableId="1546403541">
    <w:abstractNumId w:val="13"/>
  </w:num>
  <w:num w:numId="13" w16cid:durableId="353264051">
    <w:abstractNumId w:val="6"/>
  </w:num>
  <w:num w:numId="14" w16cid:durableId="734277074">
    <w:abstractNumId w:val="1"/>
  </w:num>
  <w:num w:numId="15" w16cid:durableId="2110079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41"/>
    <w:rsid w:val="00034A5D"/>
    <w:rsid w:val="0004420C"/>
    <w:rsid w:val="000E43F2"/>
    <w:rsid w:val="00123A21"/>
    <w:rsid w:val="00153476"/>
    <w:rsid w:val="001A7CEB"/>
    <w:rsid w:val="002D536D"/>
    <w:rsid w:val="00334E0F"/>
    <w:rsid w:val="0035695D"/>
    <w:rsid w:val="0036514C"/>
    <w:rsid w:val="003B0DAE"/>
    <w:rsid w:val="00464BC5"/>
    <w:rsid w:val="004B0648"/>
    <w:rsid w:val="004B6B27"/>
    <w:rsid w:val="004C1F4B"/>
    <w:rsid w:val="005945F6"/>
    <w:rsid w:val="006629FB"/>
    <w:rsid w:val="00674D58"/>
    <w:rsid w:val="006A2503"/>
    <w:rsid w:val="006C07E0"/>
    <w:rsid w:val="006F16A3"/>
    <w:rsid w:val="00772639"/>
    <w:rsid w:val="007B22EE"/>
    <w:rsid w:val="007F1B62"/>
    <w:rsid w:val="008150CD"/>
    <w:rsid w:val="00861F84"/>
    <w:rsid w:val="00866855"/>
    <w:rsid w:val="00921508"/>
    <w:rsid w:val="00936664"/>
    <w:rsid w:val="00992CE2"/>
    <w:rsid w:val="009F7292"/>
    <w:rsid w:val="00A24D7F"/>
    <w:rsid w:val="00A33946"/>
    <w:rsid w:val="00A64CD7"/>
    <w:rsid w:val="00AE4FAE"/>
    <w:rsid w:val="00B12541"/>
    <w:rsid w:val="00B14F61"/>
    <w:rsid w:val="00B77791"/>
    <w:rsid w:val="00C70E92"/>
    <w:rsid w:val="00C958BC"/>
    <w:rsid w:val="00CC1F96"/>
    <w:rsid w:val="00D11118"/>
    <w:rsid w:val="00D959B5"/>
    <w:rsid w:val="00DA748E"/>
    <w:rsid w:val="00E96F33"/>
    <w:rsid w:val="00EB3D2F"/>
    <w:rsid w:val="00F217D0"/>
    <w:rsid w:val="00FB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EF943B"/>
  <w15:chartTrackingRefBased/>
  <w15:docId w15:val="{1E78EE79-1DB0-4822-87AA-F1A9C6CE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41"/>
    <w:pPr>
      <w:ind w:left="720"/>
      <w:contextualSpacing/>
    </w:pPr>
  </w:style>
  <w:style w:type="character" w:styleId="Hyperlink">
    <w:name w:val="Hyperlink"/>
    <w:basedOn w:val="DefaultParagraphFont"/>
    <w:uiPriority w:val="99"/>
    <w:unhideWhenUsed/>
    <w:rsid w:val="006C07E0"/>
    <w:rPr>
      <w:color w:val="0000FF"/>
      <w:u w:val="single"/>
    </w:rPr>
  </w:style>
  <w:style w:type="character" w:styleId="UnresolvedMention">
    <w:name w:val="Unresolved Mention"/>
    <w:basedOn w:val="DefaultParagraphFont"/>
    <w:uiPriority w:val="99"/>
    <w:semiHidden/>
    <w:unhideWhenUsed/>
    <w:rsid w:val="003B0DAE"/>
    <w:rPr>
      <w:color w:val="605E5C"/>
      <w:shd w:val="clear" w:color="auto" w:fill="E1DFDD"/>
    </w:rPr>
  </w:style>
  <w:style w:type="paragraph" w:styleId="NormalWeb">
    <w:name w:val="Normal (Web)"/>
    <w:basedOn w:val="Normal"/>
    <w:uiPriority w:val="99"/>
    <w:semiHidden/>
    <w:unhideWhenUsed/>
    <w:rsid w:val="00FB10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2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E92"/>
  </w:style>
  <w:style w:type="paragraph" w:styleId="Footer">
    <w:name w:val="footer"/>
    <w:basedOn w:val="Normal"/>
    <w:link w:val="FooterChar"/>
    <w:uiPriority w:val="99"/>
    <w:unhideWhenUsed/>
    <w:rsid w:val="00C7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803">
      <w:bodyDiv w:val="1"/>
      <w:marLeft w:val="0"/>
      <w:marRight w:val="0"/>
      <w:marTop w:val="0"/>
      <w:marBottom w:val="0"/>
      <w:divBdr>
        <w:top w:val="none" w:sz="0" w:space="0" w:color="auto"/>
        <w:left w:val="none" w:sz="0" w:space="0" w:color="auto"/>
        <w:bottom w:val="none" w:sz="0" w:space="0" w:color="auto"/>
        <w:right w:val="none" w:sz="0" w:space="0" w:color="auto"/>
      </w:divBdr>
    </w:div>
    <w:div w:id="197935647">
      <w:bodyDiv w:val="1"/>
      <w:marLeft w:val="0"/>
      <w:marRight w:val="0"/>
      <w:marTop w:val="0"/>
      <w:marBottom w:val="0"/>
      <w:divBdr>
        <w:top w:val="none" w:sz="0" w:space="0" w:color="auto"/>
        <w:left w:val="none" w:sz="0" w:space="0" w:color="auto"/>
        <w:bottom w:val="none" w:sz="0" w:space="0" w:color="auto"/>
        <w:right w:val="none" w:sz="0" w:space="0" w:color="auto"/>
      </w:divBdr>
    </w:div>
    <w:div w:id="15151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ernetwork.org/obesity/html"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hs.uk/live-well/eat-well/the-eatwell-guide" TargetMode="External"/><Relationship Id="rId7" Type="http://schemas.openxmlformats.org/officeDocument/2006/relationships/image" Target="media/image1.jpeg"/><Relationship Id="rId12" Type="http://schemas.openxmlformats.org/officeDocument/2006/relationships/hyperlink" Target="http://www.bda.uk.com/resource/food-facts-portion-sizes.html" TargetMode="External"/><Relationship Id="rId17" Type="http://schemas.openxmlformats.org/officeDocument/2006/relationships/hyperlink" Target="mailto:uhs.weightmanagementteam@nhs.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cpch.ac.uk/sites/default/files/Girls_2-18_years_growth_chart.pdf" TargetMode="External"/><Relationship Id="rId20" Type="http://schemas.openxmlformats.org/officeDocument/2006/relationships/hyperlink" Target="http://www.nhs.uk/healthier-famil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antandtoddlerforum.org/toddlers-to-preschool/portion-sizes-for-toddlers/toddler-portion-sizes-tabl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cpch.ac.uk/sites/default/files/Boys_2-18_years_growth_chart.pdf" TargetMode="External"/><Relationship Id="rId23" Type="http://schemas.openxmlformats.org/officeDocument/2006/relationships/hyperlink" Target="http://www.marathonkids.co.uk" TargetMode="External"/><Relationship Id="rId10" Type="http://schemas.openxmlformats.org/officeDocument/2006/relationships/hyperlink" Target="mailto:SNHS.healthvisitingsouthampton@nhs.net" TargetMode="External"/><Relationship Id="rId19" Type="http://schemas.openxmlformats.org/officeDocument/2006/relationships/hyperlink" Target="http://www.nhs.uk/better-health/lose-weight/" TargetMode="External"/><Relationship Id="rId4" Type="http://schemas.openxmlformats.org/officeDocument/2006/relationships/webSettings" Target="webSettings.xml"/><Relationship Id="rId9" Type="http://schemas.openxmlformats.org/officeDocument/2006/relationships/hyperlink" Target="mailto:SNHS.Publichealthnursingsouthampton@nhs.net" TargetMode="External"/><Relationship Id="rId14" Type="http://schemas.openxmlformats.org/officeDocument/2006/relationships/hyperlink" Target="mailto:uhs.weightmanagementteam@nhs.net" TargetMode="External"/><Relationship Id="rId22" Type="http://schemas.openxmlformats.org/officeDocument/2006/relationships/hyperlink" Target="http://www.parkru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Boxel, Elizabeth</dc:creator>
  <cp:keywords/>
  <dc:description/>
  <cp:lastModifiedBy>LOVEGROVE, Phil (NHS HAMPSHIRE AND ISLE OF WIGHT ICB - D9Y0V)</cp:lastModifiedBy>
  <cp:revision>3</cp:revision>
  <dcterms:created xsi:type="dcterms:W3CDTF">2023-01-23T10:20:00Z</dcterms:created>
  <dcterms:modified xsi:type="dcterms:W3CDTF">2023-01-23T10:20:00Z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-1331113220</vt:i4>
  </property>
</Properties>
</file>