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90FC" w14:textId="201627B0" w:rsidR="00AA3238" w:rsidRDefault="00AA3238"/>
    <w:p w14:paraId="0CFD49CE" w14:textId="0BEAE966" w:rsidR="00AA3238" w:rsidRDefault="00AA3238"/>
    <w:p w14:paraId="5E6F7936" w14:textId="7589E421" w:rsidR="00AA3238" w:rsidRDefault="00AA3238"/>
    <w:tbl>
      <w:tblPr>
        <w:tblStyle w:val="MediumShading2-Accent4"/>
        <w:tblpPr w:leftFromText="180" w:rightFromText="180" w:vertAnchor="page" w:horzAnchor="margin" w:tblpXSpec="center" w:tblpY="2731"/>
        <w:tblW w:w="10881" w:type="dxa"/>
        <w:tblLook w:val="04A0" w:firstRow="1" w:lastRow="0" w:firstColumn="1" w:lastColumn="0" w:noHBand="0" w:noVBand="1"/>
      </w:tblPr>
      <w:tblGrid>
        <w:gridCol w:w="2093"/>
        <w:gridCol w:w="8788"/>
      </w:tblGrid>
      <w:tr w:rsidR="00AA3238" w:rsidRPr="00091A02" w14:paraId="338EDCAC" w14:textId="77777777" w:rsidTr="00314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81" w:type="dxa"/>
            <w:gridSpan w:val="2"/>
            <w:shd w:val="clear" w:color="auto" w:fill="BDD6EE" w:themeFill="accent5" w:themeFillTint="66"/>
          </w:tcPr>
          <w:p w14:paraId="4E030D33" w14:textId="1AACB5EE" w:rsidR="00AA3238" w:rsidRPr="00091A02" w:rsidRDefault="00AA3238" w:rsidP="003142E7">
            <w:pPr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91A02">
              <w:rPr>
                <w:rFonts w:asciiTheme="minorHAnsi" w:hAnsiTheme="minorHAnsi"/>
                <w:sz w:val="52"/>
                <w:szCs w:val="52"/>
              </w:rPr>
              <w:t>Significant Event Alert</w:t>
            </w:r>
            <w:r>
              <w:rPr>
                <w:rFonts w:asciiTheme="minorHAnsi" w:hAnsiTheme="minorHAnsi"/>
                <w:sz w:val="52"/>
                <w:szCs w:val="52"/>
              </w:rPr>
              <w:t xml:space="preserve"> Shared Learning </w:t>
            </w:r>
          </w:p>
          <w:p w14:paraId="661E4D78" w14:textId="77777777" w:rsidR="00AA3238" w:rsidRPr="00091A02" w:rsidRDefault="00AA3238" w:rsidP="003142E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3238" w:rsidRPr="00B44C35" w14:paraId="355E824B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0AB4716D" w14:textId="77777777" w:rsidR="00AA3238" w:rsidRDefault="00AA3238" w:rsidP="003142E7">
            <w:pPr>
              <w:rPr>
                <w:rFonts w:asciiTheme="minorHAnsi" w:hAnsiTheme="minorHAnsi"/>
                <w:b w:val="0"/>
                <w:bCs w:val="0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bCs w:val="0"/>
                <w:sz w:val="36"/>
                <w:szCs w:val="36"/>
              </w:rPr>
              <w:t>Remote Clinical Session</w:t>
            </w:r>
          </w:p>
          <w:p w14:paraId="47702C41" w14:textId="77777777" w:rsidR="00AA3238" w:rsidRPr="00B44C35" w:rsidRDefault="00AA3238" w:rsidP="003142E7">
            <w:pPr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Date: 25.7.2022</w:t>
            </w:r>
          </w:p>
        </w:tc>
      </w:tr>
      <w:tr w:rsidR="00AA3238" w:rsidRPr="00091A02" w14:paraId="32823DFE" w14:textId="77777777" w:rsidTr="003142E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2"/>
            <w:shd w:val="clear" w:color="auto" w:fill="BDD6EE" w:themeFill="accent5" w:themeFillTint="66"/>
          </w:tcPr>
          <w:p w14:paraId="05B9586F" w14:textId="77777777" w:rsidR="00AA3238" w:rsidRPr="00091A02" w:rsidRDefault="00AA3238" w:rsidP="003142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91A02"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ICB</w:t>
            </w:r>
            <w:r w:rsidRPr="00091A02">
              <w:rPr>
                <w:rFonts w:asciiTheme="minorHAnsi" w:hAnsiTheme="minorHAnsi"/>
                <w:b w:val="0"/>
                <w:sz w:val="22"/>
                <w:szCs w:val="22"/>
              </w:rPr>
              <w:t xml:space="preserve"> have been monitoring reports for themes and trends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identified on Learn from Patient Safety Events (LFPSE) </w:t>
            </w:r>
            <w:r w:rsidRPr="00091A02">
              <w:rPr>
                <w:rFonts w:asciiTheme="minorHAnsi" w:hAnsiTheme="minorHAnsi"/>
                <w:b w:val="0"/>
                <w:sz w:val="22"/>
                <w:szCs w:val="22"/>
              </w:rPr>
              <w:t>and will send out communication to practices regarding these find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ing. O</w:t>
            </w:r>
            <w:r w:rsidRPr="00091A02">
              <w:rPr>
                <w:rFonts w:asciiTheme="minorHAnsi" w:hAnsiTheme="minorHAnsi"/>
                <w:b w:val="0"/>
                <w:sz w:val="22"/>
                <w:szCs w:val="22"/>
              </w:rPr>
              <w:t>ccasionally themes are identified that require communication to all Primar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y Care Providers for shared learning.</w:t>
            </w:r>
          </w:p>
        </w:tc>
      </w:tr>
      <w:tr w:rsidR="00AA3238" w:rsidRPr="00091A02" w14:paraId="2391CDD3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4990FE6F" w14:textId="77777777" w:rsidR="00AA3238" w:rsidRPr="00091A02" w:rsidRDefault="00AA3238" w:rsidP="003142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88" w:type="dxa"/>
          </w:tcPr>
          <w:p w14:paraId="5A7DB4E6" w14:textId="77777777" w:rsidR="00AA3238" w:rsidRPr="00091A02" w:rsidRDefault="00AA3238" w:rsidP="003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3238" w:rsidRPr="00C43C17" w14:paraId="12374B73" w14:textId="77777777" w:rsidTr="0031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2B91CB34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  <w:r w:rsidRPr="00091A02">
              <w:rPr>
                <w:rFonts w:asciiTheme="minorHAnsi" w:hAnsiTheme="minorHAnsi"/>
              </w:rPr>
              <w:t>Summary</w:t>
            </w:r>
          </w:p>
          <w:p w14:paraId="132D6289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4F29D0AD" w14:textId="77777777" w:rsidR="00AA3238" w:rsidRPr="00501386" w:rsidRDefault="00AA3238" w:rsidP="003142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Remote consultations</w:t>
            </w:r>
          </w:p>
        </w:tc>
      </w:tr>
      <w:tr w:rsidR="00AA3238" w:rsidRPr="00ED101E" w14:paraId="31546EB3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6E564301" w14:textId="77777777" w:rsidR="00AA3238" w:rsidRPr="00091A02" w:rsidRDefault="00AA3238" w:rsidP="003142E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88" w:type="dxa"/>
          </w:tcPr>
          <w:p w14:paraId="7E558175" w14:textId="77777777" w:rsidR="00AA3238" w:rsidRPr="00ED101E" w:rsidRDefault="00AA3238" w:rsidP="0031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A3238" w:rsidRPr="001833B6" w14:paraId="0683A25D" w14:textId="77777777" w:rsidTr="003142E7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0F2792FC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  <w:r w:rsidRPr="00091A02">
              <w:rPr>
                <w:rFonts w:asciiTheme="minorHAnsi" w:hAnsiTheme="minorHAnsi"/>
              </w:rPr>
              <w:t>Identified</w:t>
            </w:r>
            <w:r>
              <w:rPr>
                <w:rFonts w:asciiTheme="minorHAnsi" w:hAnsiTheme="minorHAnsi"/>
              </w:rPr>
              <w:t xml:space="preserve"> Risks</w:t>
            </w:r>
          </w:p>
        </w:tc>
        <w:tc>
          <w:tcPr>
            <w:tcW w:w="8788" w:type="dxa"/>
          </w:tcPr>
          <w:p w14:paraId="7C3E8BBC" w14:textId="77777777" w:rsidR="00AA3238" w:rsidRPr="001833B6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of incorrect recording consultations on cloud storage</w:t>
            </w:r>
          </w:p>
        </w:tc>
      </w:tr>
      <w:tr w:rsidR="00AA3238" w:rsidRPr="00ED101E" w14:paraId="0B23C642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02F86F07" w14:textId="77777777" w:rsidR="00AA3238" w:rsidRPr="00091A02" w:rsidRDefault="00AA3238" w:rsidP="003142E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88" w:type="dxa"/>
          </w:tcPr>
          <w:p w14:paraId="0FC81D96" w14:textId="77777777" w:rsidR="00AA3238" w:rsidRPr="00ED101E" w:rsidRDefault="00AA3238" w:rsidP="0031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A3238" w:rsidRPr="006D2D83" w14:paraId="0458B922" w14:textId="77777777" w:rsidTr="0031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76799662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  <w:r w:rsidRPr="00091A02">
              <w:rPr>
                <w:rFonts w:asciiTheme="minorHAnsi" w:hAnsiTheme="minorHAnsi"/>
              </w:rPr>
              <w:t>Identified learning</w:t>
            </w:r>
          </w:p>
          <w:p w14:paraId="318B2796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427A743E" w14:textId="77777777" w:rsidR="00AA3238" w:rsidRDefault="00AA3238" w:rsidP="0031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 is recognised that General Practice has been operating remote services during Covid. Due to the significant pressures on workforce/recruitment remote sessions are likely to continue, it is worth practices reviewing their processes.</w:t>
            </w:r>
          </w:p>
          <w:p w14:paraId="6ECA44B0" w14:textId="77777777" w:rsidR="00AA3238" w:rsidRDefault="00AA3238" w:rsidP="0031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BA0FCB" w14:textId="77777777" w:rsidR="00AA3238" w:rsidRPr="006D2D83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remote working procedures</w:t>
            </w:r>
          </w:p>
          <w:p w14:paraId="5CFCC253" w14:textId="77777777" w:rsidR="00AA3238" w:rsidRPr="006D2D83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risk assessments for remote worker to consider data protection and confidentiality</w:t>
            </w:r>
          </w:p>
          <w:p w14:paraId="67B7D359" w14:textId="77777777" w:rsidR="00AA3238" w:rsidRPr="006D2D83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Turn off auto populate password function</w:t>
            </w:r>
          </w:p>
          <w:p w14:paraId="1233FE70" w14:textId="77777777" w:rsidR="00AA3238" w:rsidRPr="006D2D83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explore with telephony security/safety features</w:t>
            </w:r>
          </w:p>
          <w:p w14:paraId="5038537F" w14:textId="77777777" w:rsidR="00AA3238" w:rsidRDefault="00AA3238" w:rsidP="003142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Staff that work at multiple sites need to check and confirm they are logged into the employing practice for the session</w:t>
            </w:r>
          </w:p>
          <w:p w14:paraId="6FB4C0E3" w14:textId="301928A0" w:rsidR="00376A34" w:rsidRPr="006D2D83" w:rsidRDefault="00376A34" w:rsidP="00376A3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238" w:rsidRPr="00ED101E" w14:paraId="54DDD59B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5AC2F9C8" w14:textId="77777777" w:rsidR="00AA3238" w:rsidRPr="00091A02" w:rsidRDefault="00AA3238" w:rsidP="003142E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88" w:type="dxa"/>
          </w:tcPr>
          <w:p w14:paraId="04F562D9" w14:textId="77777777" w:rsidR="00AA3238" w:rsidRPr="00ED101E" w:rsidRDefault="00AA3238" w:rsidP="00314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A3238" w:rsidRPr="001833B6" w14:paraId="476F2C06" w14:textId="77777777" w:rsidTr="0031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5D586CAE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  <w:r w:rsidRPr="00091A02">
              <w:rPr>
                <w:rFonts w:asciiTheme="minorHAnsi" w:hAnsiTheme="minorHAnsi"/>
              </w:rPr>
              <w:t>Suggested actions</w:t>
            </w:r>
          </w:p>
          <w:p w14:paraId="244E3318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312E5F2A" w14:textId="2835CDF7" w:rsidR="00376A34" w:rsidRDefault="00376A34" w:rsidP="003142E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Practices to review remote working</w:t>
            </w:r>
          </w:p>
          <w:p w14:paraId="670AD810" w14:textId="1BE81305" w:rsidR="00AA3238" w:rsidRPr="002F62D5" w:rsidRDefault="00AA3238" w:rsidP="003142E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62D5">
              <w:t>Staff that work at multiple sites need to check and confirm they are logged into the employing practice for the session</w:t>
            </w:r>
          </w:p>
          <w:p w14:paraId="260FCE6E" w14:textId="77777777" w:rsidR="00AA3238" w:rsidRPr="001833B6" w:rsidRDefault="00AA3238" w:rsidP="003142E7">
            <w:pPr>
              <w:pStyle w:val="Body"/>
              <w:spacing w:after="0"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AA3238" w:rsidRPr="00ED101E" w14:paraId="556D2F36" w14:textId="77777777" w:rsidTr="00314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0EF8C8C3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</w:p>
        </w:tc>
        <w:tc>
          <w:tcPr>
            <w:tcW w:w="8788" w:type="dxa"/>
          </w:tcPr>
          <w:p w14:paraId="793A8780" w14:textId="77777777" w:rsidR="00AA3238" w:rsidRPr="00ED101E" w:rsidRDefault="00AA3238" w:rsidP="003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A3238" w:rsidRPr="001833B6" w14:paraId="248E5F32" w14:textId="77777777" w:rsidTr="0031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BDD6EE" w:themeFill="accent5" w:themeFillTint="66"/>
          </w:tcPr>
          <w:p w14:paraId="58B9123E" w14:textId="77777777" w:rsidR="00AA3238" w:rsidRPr="00091A02" w:rsidRDefault="00AA3238" w:rsidP="003142E7">
            <w:pPr>
              <w:rPr>
                <w:rFonts w:asciiTheme="minorHAnsi" w:hAnsiTheme="minorHAnsi"/>
              </w:rPr>
            </w:pPr>
            <w:r w:rsidRPr="00091A02">
              <w:rPr>
                <w:rFonts w:asciiTheme="minorHAnsi" w:hAnsiTheme="minorHAnsi"/>
              </w:rPr>
              <w:t>For further information and support contact:</w:t>
            </w:r>
          </w:p>
        </w:tc>
        <w:tc>
          <w:tcPr>
            <w:tcW w:w="8788" w:type="dxa"/>
          </w:tcPr>
          <w:p w14:paraId="4EFDB661" w14:textId="77777777" w:rsidR="00AA3238" w:rsidRPr="00ED101E" w:rsidRDefault="00AA3238" w:rsidP="0031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Hampshire &amp; Isle of Wight ICB </w:t>
            </w:r>
            <w:r w:rsidRPr="00ED101E">
              <w:rPr>
                <w:rFonts w:asciiTheme="minorHAnsi" w:hAnsiTheme="minorHAnsi"/>
              </w:rPr>
              <w:t xml:space="preserve">Primary Care Quality:  </w:t>
            </w:r>
          </w:p>
          <w:p w14:paraId="764A899E" w14:textId="77777777" w:rsidR="00AA3238" w:rsidRPr="001833B6" w:rsidRDefault="00AA3238" w:rsidP="0031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Sarah Rochford </w:t>
            </w:r>
            <w:hyperlink r:id="rId8" w:history="1">
              <w:r w:rsidRPr="00BF2812">
                <w:rPr>
                  <w:rStyle w:val="Hyperlink"/>
                </w:rPr>
                <w:t>sarahrochford@nhs.net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14:paraId="4601CC2F" w14:textId="77777777" w:rsidR="00AA3238" w:rsidRDefault="00AA3238"/>
    <w:sectPr w:rsidR="00AA32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9D4F" w14:textId="77777777" w:rsidR="00D1444C" w:rsidRDefault="00D1444C" w:rsidP="00AA3238">
      <w:pPr>
        <w:spacing w:after="0" w:line="240" w:lineRule="auto"/>
      </w:pPr>
      <w:r>
        <w:separator/>
      </w:r>
    </w:p>
  </w:endnote>
  <w:endnote w:type="continuationSeparator" w:id="0">
    <w:p w14:paraId="5E5EA440" w14:textId="77777777" w:rsidR="00D1444C" w:rsidRDefault="00D1444C" w:rsidP="00AA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6D55" w14:textId="77777777" w:rsidR="00D1444C" w:rsidRDefault="00D1444C" w:rsidP="00AA3238">
      <w:pPr>
        <w:spacing w:after="0" w:line="240" w:lineRule="auto"/>
      </w:pPr>
      <w:r>
        <w:separator/>
      </w:r>
    </w:p>
  </w:footnote>
  <w:footnote w:type="continuationSeparator" w:id="0">
    <w:p w14:paraId="386AECB6" w14:textId="77777777" w:rsidR="00D1444C" w:rsidRDefault="00D1444C" w:rsidP="00AA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3541" w14:textId="33B2D364" w:rsidR="00AA3238" w:rsidRDefault="00AA3238" w:rsidP="005224DA">
    <w:pPr>
      <w:pStyle w:val="Header"/>
      <w:jc w:val="right"/>
    </w:pPr>
    <w:r>
      <w:rPr>
        <w:noProof/>
      </w:rPr>
      <w:drawing>
        <wp:inline distT="0" distB="0" distL="0" distR="0" wp14:anchorId="31AA15BF" wp14:editId="1F849368">
          <wp:extent cx="2505456" cy="911352"/>
          <wp:effectExtent l="0" t="0" r="9525" b="317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456" cy="91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8BD67" w14:textId="77777777" w:rsidR="00AA3238" w:rsidRDefault="00AA3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2A6"/>
    <w:multiLevelType w:val="hybridMultilevel"/>
    <w:tmpl w:val="ABF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B9F"/>
    <w:multiLevelType w:val="hybridMultilevel"/>
    <w:tmpl w:val="158A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1BDE"/>
    <w:multiLevelType w:val="hybridMultilevel"/>
    <w:tmpl w:val="917E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1856">
    <w:abstractNumId w:val="0"/>
  </w:num>
  <w:num w:numId="2" w16cid:durableId="758522945">
    <w:abstractNumId w:val="1"/>
  </w:num>
  <w:num w:numId="3" w16cid:durableId="278607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238"/>
    <w:rsid w:val="00026E2F"/>
    <w:rsid w:val="003142E7"/>
    <w:rsid w:val="00376A34"/>
    <w:rsid w:val="005224DA"/>
    <w:rsid w:val="00653C2A"/>
    <w:rsid w:val="00770D42"/>
    <w:rsid w:val="00AA3238"/>
    <w:rsid w:val="00B1710F"/>
    <w:rsid w:val="00D1444C"/>
    <w:rsid w:val="00D17145"/>
    <w:rsid w:val="00D85A4D"/>
    <w:rsid w:val="00DF62CE"/>
    <w:rsid w:val="00F3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CC59A"/>
  <w15:chartTrackingRefBased/>
  <w15:docId w15:val="{B098F34E-BD54-4372-AC01-E07496E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238"/>
    <w:rPr>
      <w:color w:val="0563C1" w:themeColor="hyperlink"/>
      <w:u w:val="single"/>
    </w:rPr>
  </w:style>
  <w:style w:type="paragraph" w:customStyle="1" w:styleId="Body">
    <w:name w:val="Body"/>
    <w:rsid w:val="00AA3238"/>
    <w:pPr>
      <w:spacing w:after="200" w:line="276" w:lineRule="auto"/>
    </w:pPr>
    <w:rPr>
      <w:rFonts w:ascii="Calibri" w:eastAsia="Calibri" w:hAnsi="Calibri" w:cs="Calibri"/>
      <w:b/>
      <w:color w:val="000000"/>
      <w:u w:color="000000"/>
      <w:lang w:eastAsia="en-GB"/>
    </w:rPr>
  </w:style>
  <w:style w:type="table" w:styleId="MediumShading2-Accent4">
    <w:name w:val="Medium Shading 2 Accent 4"/>
    <w:basedOn w:val="TableNormal"/>
    <w:uiPriority w:val="64"/>
    <w:rsid w:val="00AA3238"/>
    <w:pPr>
      <w:spacing w:after="0" w:line="240" w:lineRule="auto"/>
    </w:pPr>
    <w:rPr>
      <w:rFonts w:ascii="Calibri" w:hAnsi="Calibri"/>
      <w:color w:val="44546A" w:themeColor="text2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A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38"/>
  </w:style>
  <w:style w:type="paragraph" w:styleId="Footer">
    <w:name w:val="footer"/>
    <w:basedOn w:val="Normal"/>
    <w:link w:val="FooterChar"/>
    <w:uiPriority w:val="99"/>
    <w:unhideWhenUsed/>
    <w:rsid w:val="00AA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rochford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5C3301-7298-43A0-AC0C-4AAC9CCEDD48}">
  <we:reference id="ec54a0d4-1494-4e42-b65a-78000cc718aa" version="1.0.0.0" store="EXCatalog" storeType="EXCatalog"/>
  <we:alternateReferences>
    <we:reference id="WA200003509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939D-DEDB-4807-B63B-D0EF4CF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ROCHFORD, Sarah (NHS HAMPSHIRE AND ISLE OF WIGHT ICB - D9Y0V)</dc:creator>
  <cp:keywords/>
  <dc:description/>
  <cp:lastModifiedBy>ROCHFORD, Sarah (NHS HAMPSHIRE AND ISLE OF WIGHT ICB - D9Y0V)</cp:lastModifiedBy>
  <cp:revision>3</cp:revision>
  <dcterms:created xsi:type="dcterms:W3CDTF">2022-08-25T11:09:00Z</dcterms:created>
  <dcterms:modified xsi:type="dcterms:W3CDTF">2022-08-25T13:12:00Z</dcterms:modified>
</cp:coreProperties>
</file>