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B9C2" w14:textId="77777777" w:rsidR="000A1F4D" w:rsidRDefault="000A1F4D" w:rsidP="00C653AF"/>
    <w:p w14:paraId="31CD116F" w14:textId="77777777" w:rsidR="00E94815" w:rsidRPr="00BA2F01" w:rsidRDefault="00E94815" w:rsidP="00E94815">
      <w:pPr>
        <w:jc w:val="center"/>
        <w:rPr>
          <w:rFonts w:ascii="Arial" w:hAnsi="Arial" w:cs="Arial"/>
          <w:b/>
          <w:sz w:val="32"/>
          <w:u w:val="single"/>
        </w:rPr>
      </w:pPr>
      <w:r>
        <w:rPr>
          <w:rFonts w:ascii="Arial" w:hAnsi="Arial" w:cs="Arial"/>
          <w:b/>
          <w:sz w:val="32"/>
          <w:u w:val="single"/>
        </w:rPr>
        <w:t>Pathology Packing Instructions for s</w:t>
      </w:r>
      <w:r w:rsidRPr="00BA2F01">
        <w:rPr>
          <w:rFonts w:ascii="Arial" w:hAnsi="Arial" w:cs="Arial"/>
          <w:b/>
          <w:sz w:val="32"/>
          <w:u w:val="single"/>
        </w:rPr>
        <w:t>amples collected by the Non Patient Courier Transport Service for delivery to Southampton and Portsmouth Pathology Labs</w:t>
      </w:r>
    </w:p>
    <w:p w14:paraId="23228D84" w14:textId="77777777" w:rsidR="00E94815" w:rsidRPr="00E94815" w:rsidRDefault="00E94815" w:rsidP="0043367F">
      <w:pPr>
        <w:jc w:val="both"/>
        <w:rPr>
          <w:rFonts w:ascii="Arial" w:hAnsi="Arial" w:cs="Arial"/>
          <w:b/>
        </w:rPr>
      </w:pPr>
    </w:p>
    <w:p w14:paraId="7F9BD1A6" w14:textId="77777777" w:rsidR="0043367F" w:rsidRDefault="00E94815" w:rsidP="00E94815">
      <w:pPr>
        <w:spacing w:line="240" w:lineRule="auto"/>
        <w:jc w:val="both"/>
        <w:rPr>
          <w:rFonts w:ascii="Arial" w:hAnsi="Arial" w:cs="Arial"/>
        </w:rPr>
      </w:pPr>
      <w:r>
        <w:rPr>
          <w:rFonts w:ascii="Arial" w:hAnsi="Arial" w:cs="Arial"/>
        </w:rPr>
        <w:t>I</w:t>
      </w:r>
      <w:r w:rsidR="0043367F">
        <w:rPr>
          <w:rFonts w:ascii="Arial" w:hAnsi="Arial" w:cs="Arial"/>
        </w:rPr>
        <w:t>n order for the sites to be compl</w:t>
      </w:r>
      <w:r>
        <w:rPr>
          <w:rFonts w:ascii="Arial" w:hAnsi="Arial" w:cs="Arial"/>
        </w:rPr>
        <w:t>ia</w:t>
      </w:r>
      <w:r w:rsidR="0043367F">
        <w:rPr>
          <w:rFonts w:ascii="Arial" w:hAnsi="Arial" w:cs="Arial"/>
        </w:rPr>
        <w:t xml:space="preserve">nt with the packaging element of the ADR Regulations 2015 (The European Agreement Concerning the International Carriage of Dangerous Goods by Road) all pathology samples must be packaged using </w:t>
      </w:r>
      <w:r w:rsidR="0043367F" w:rsidRPr="00960052">
        <w:rPr>
          <w:rFonts w:ascii="Arial" w:hAnsi="Arial" w:cs="Arial"/>
          <w:b/>
        </w:rPr>
        <w:t>three</w:t>
      </w:r>
      <w:r w:rsidR="0043367F">
        <w:rPr>
          <w:rFonts w:ascii="Arial" w:hAnsi="Arial" w:cs="Arial"/>
        </w:rPr>
        <w:t xml:space="preserve"> lines of defence:</w:t>
      </w:r>
      <w:r w:rsidR="0043367F" w:rsidRPr="006B78D4">
        <w:rPr>
          <w:rFonts w:ascii="Arial" w:hAnsi="Arial" w:cs="Arial"/>
        </w:rPr>
        <w:t xml:space="preserve">  </w:t>
      </w:r>
    </w:p>
    <w:p w14:paraId="17C6BF33" w14:textId="77777777" w:rsidR="0043367F" w:rsidRPr="006B78D4" w:rsidRDefault="0043367F" w:rsidP="00E94815">
      <w:pPr>
        <w:pStyle w:val="ListParagraph"/>
        <w:numPr>
          <w:ilvl w:val="0"/>
          <w:numId w:val="3"/>
        </w:numPr>
        <w:jc w:val="both"/>
        <w:rPr>
          <w:rFonts w:ascii="Arial" w:hAnsi="Arial" w:cs="Arial"/>
        </w:rPr>
      </w:pPr>
      <w:r w:rsidRPr="006B78D4">
        <w:rPr>
          <w:rFonts w:ascii="Arial" w:hAnsi="Arial" w:cs="Arial"/>
        </w:rPr>
        <w:t>The sample bag</w:t>
      </w:r>
    </w:p>
    <w:p w14:paraId="3EA1BE9A" w14:textId="77777777" w:rsidR="0043367F" w:rsidRPr="006B78D4" w:rsidRDefault="0043367F" w:rsidP="00E94815">
      <w:pPr>
        <w:pStyle w:val="ListParagraph"/>
        <w:numPr>
          <w:ilvl w:val="0"/>
          <w:numId w:val="3"/>
        </w:numPr>
        <w:jc w:val="both"/>
        <w:rPr>
          <w:rFonts w:ascii="Arial" w:hAnsi="Arial" w:cs="Arial"/>
        </w:rPr>
      </w:pPr>
      <w:r w:rsidRPr="006B78D4">
        <w:rPr>
          <w:rFonts w:ascii="Arial" w:hAnsi="Arial" w:cs="Arial"/>
        </w:rPr>
        <w:t>A suitable liner and absorbent pad</w:t>
      </w:r>
    </w:p>
    <w:p w14:paraId="5E19E0D3" w14:textId="77777777" w:rsidR="0043367F" w:rsidRDefault="0043367F" w:rsidP="00E94815">
      <w:pPr>
        <w:pStyle w:val="ListParagraph"/>
        <w:numPr>
          <w:ilvl w:val="0"/>
          <w:numId w:val="3"/>
        </w:numPr>
        <w:jc w:val="both"/>
        <w:rPr>
          <w:rFonts w:ascii="Arial" w:hAnsi="Arial" w:cs="Arial"/>
        </w:rPr>
      </w:pPr>
      <w:r w:rsidRPr="006B78D4">
        <w:rPr>
          <w:rFonts w:ascii="Arial" w:hAnsi="Arial" w:cs="Arial"/>
        </w:rPr>
        <w:t>The transport bag</w:t>
      </w:r>
      <w:r w:rsidR="00E94815">
        <w:rPr>
          <w:rFonts w:ascii="Arial" w:hAnsi="Arial" w:cs="Arial"/>
        </w:rPr>
        <w:t xml:space="preserve"> (provided by the non-patient courier transport service)</w:t>
      </w:r>
    </w:p>
    <w:p w14:paraId="21D2F86A" w14:textId="77777777" w:rsidR="0043367F" w:rsidRDefault="0043367F" w:rsidP="00E94815">
      <w:pPr>
        <w:spacing w:line="240" w:lineRule="auto"/>
        <w:jc w:val="both"/>
        <w:rPr>
          <w:rFonts w:ascii="Arial" w:hAnsi="Arial" w:cs="Arial"/>
        </w:rPr>
      </w:pPr>
    </w:p>
    <w:p w14:paraId="3590B45A" w14:textId="77777777" w:rsidR="0043367F" w:rsidRPr="00CB4615" w:rsidRDefault="0043367F" w:rsidP="00E94815">
      <w:pPr>
        <w:spacing w:line="240" w:lineRule="auto"/>
        <w:jc w:val="both"/>
        <w:rPr>
          <w:rFonts w:ascii="Arial" w:hAnsi="Arial" w:cs="Arial"/>
          <w:b/>
          <w:u w:val="single"/>
        </w:rPr>
      </w:pPr>
      <w:r>
        <w:rPr>
          <w:rFonts w:ascii="Arial" w:hAnsi="Arial" w:cs="Arial"/>
        </w:rPr>
        <w:t xml:space="preserve">Please note, it is the responsibility of individual collection site to </w:t>
      </w:r>
      <w:r w:rsidR="00E94815">
        <w:rPr>
          <w:rFonts w:ascii="Arial" w:hAnsi="Arial" w:cs="Arial"/>
        </w:rPr>
        <w:t xml:space="preserve">provide, </w:t>
      </w:r>
      <w:r>
        <w:rPr>
          <w:rFonts w:ascii="Arial" w:hAnsi="Arial" w:cs="Arial"/>
        </w:rPr>
        <w:t xml:space="preserve">use and fund </w:t>
      </w:r>
      <w:r w:rsidR="00E94815">
        <w:rPr>
          <w:rFonts w:ascii="Arial" w:hAnsi="Arial" w:cs="Arial"/>
        </w:rPr>
        <w:t>the liners and absorbent pad and supplies must be kept available at all times.  These are single use items.  You can order these from NHS Supply Chain using the order details below:-</w:t>
      </w:r>
    </w:p>
    <w:tbl>
      <w:tblPr>
        <w:tblStyle w:val="TableGrid"/>
        <w:tblW w:w="5029" w:type="pct"/>
        <w:tblLayout w:type="fixed"/>
        <w:tblLook w:val="04A0" w:firstRow="1" w:lastRow="0" w:firstColumn="1" w:lastColumn="0" w:noHBand="0" w:noVBand="1"/>
      </w:tblPr>
      <w:tblGrid>
        <w:gridCol w:w="4536"/>
        <w:gridCol w:w="4532"/>
      </w:tblGrid>
      <w:tr w:rsidR="00E94815" w:rsidRPr="00AE6CDD" w14:paraId="38F822C2" w14:textId="77777777" w:rsidTr="00F4237C">
        <w:trPr>
          <w:trHeight w:val="567"/>
        </w:trPr>
        <w:tc>
          <w:tcPr>
            <w:tcW w:w="2501" w:type="pct"/>
            <w:vAlign w:val="center"/>
          </w:tcPr>
          <w:p w14:paraId="0B63C33B" w14:textId="77777777" w:rsidR="00E94815" w:rsidRPr="00111E43" w:rsidRDefault="00E94815" w:rsidP="00F4237C">
            <w:pPr>
              <w:jc w:val="center"/>
              <w:rPr>
                <w:rFonts w:ascii="Arial" w:hAnsi="Arial" w:cs="Arial"/>
                <w:sz w:val="24"/>
                <w:szCs w:val="24"/>
                <w:u w:val="single"/>
              </w:rPr>
            </w:pPr>
            <w:r w:rsidRPr="00E952F6">
              <w:rPr>
                <w:rFonts w:ascii="Arial" w:eastAsia="Times New Roman" w:hAnsi="Arial" w:cs="Arial"/>
                <w:color w:val="0070C0"/>
                <w:szCs w:val="24"/>
                <w:u w:val="single"/>
              </w:rPr>
              <w:t>KBD1683: Absorbent Material Pack of 500</w:t>
            </w:r>
          </w:p>
        </w:tc>
        <w:tc>
          <w:tcPr>
            <w:tcW w:w="2499" w:type="pct"/>
            <w:vAlign w:val="center"/>
          </w:tcPr>
          <w:p w14:paraId="0D455C71" w14:textId="77777777" w:rsidR="00E94815" w:rsidRPr="00111E43" w:rsidRDefault="00E94815" w:rsidP="00F4237C">
            <w:pPr>
              <w:jc w:val="center"/>
              <w:rPr>
                <w:rFonts w:ascii="Arial" w:eastAsia="Times New Roman" w:hAnsi="Arial" w:cs="Arial"/>
                <w:color w:val="666666"/>
                <w:sz w:val="24"/>
                <w:szCs w:val="24"/>
                <w:u w:val="single"/>
              </w:rPr>
            </w:pPr>
            <w:r w:rsidRPr="00111E43">
              <w:rPr>
                <w:rFonts w:ascii="Arial" w:eastAsia="Times New Roman" w:hAnsi="Arial" w:cs="Arial"/>
                <w:color w:val="0070C0"/>
                <w:sz w:val="24"/>
                <w:szCs w:val="24"/>
                <w:u w:val="single"/>
              </w:rPr>
              <w:t>KFD268:</w:t>
            </w:r>
            <w:r>
              <w:rPr>
                <w:rFonts w:ascii="Arial" w:eastAsia="Times New Roman" w:hAnsi="Arial" w:cs="Arial"/>
                <w:color w:val="0070C0"/>
                <w:sz w:val="24"/>
                <w:szCs w:val="24"/>
                <w:u w:val="single"/>
              </w:rPr>
              <w:t xml:space="preserve"> Sample liners box of 500</w:t>
            </w:r>
          </w:p>
        </w:tc>
      </w:tr>
      <w:tr w:rsidR="00E94815" w:rsidRPr="00AE6CDD" w14:paraId="062092FD" w14:textId="77777777" w:rsidTr="00F4237C">
        <w:trPr>
          <w:trHeight w:val="2098"/>
        </w:trPr>
        <w:tc>
          <w:tcPr>
            <w:tcW w:w="2501" w:type="pct"/>
            <w:vAlign w:val="center"/>
          </w:tcPr>
          <w:p w14:paraId="225A3FCD" w14:textId="77777777" w:rsidR="00E94815" w:rsidRPr="00AE6CDD" w:rsidRDefault="00E94815" w:rsidP="00F4237C">
            <w:pPr>
              <w:jc w:val="center"/>
              <w:rPr>
                <w:rFonts w:ascii="Arial" w:hAnsi="Arial" w:cs="Arial"/>
                <w:sz w:val="24"/>
                <w:szCs w:val="24"/>
              </w:rPr>
            </w:pPr>
            <w:r w:rsidRPr="00AE6CDD">
              <w:rPr>
                <w:rFonts w:ascii="Arial" w:eastAsia="Times New Roman" w:hAnsi="Arial" w:cs="Arial"/>
                <w:noProof/>
                <w:color w:val="0066CC"/>
                <w:sz w:val="24"/>
                <w:szCs w:val="24"/>
                <w:lang w:eastAsia="en-GB"/>
              </w:rPr>
              <w:drawing>
                <wp:anchor distT="0" distB="0" distL="114300" distR="114300" simplePos="0" relativeHeight="251663360" behindDoc="1" locked="0" layoutInCell="1" allowOverlap="1" wp14:anchorId="547A23E2" wp14:editId="6CBF7EF9">
                  <wp:simplePos x="0" y="0"/>
                  <wp:positionH relativeFrom="column">
                    <wp:posOffset>826135</wp:posOffset>
                  </wp:positionH>
                  <wp:positionV relativeFrom="paragraph">
                    <wp:posOffset>-106680</wp:posOffset>
                  </wp:positionV>
                  <wp:extent cx="1009650" cy="1141730"/>
                  <wp:effectExtent l="0" t="0" r="0" b="1270"/>
                  <wp:wrapTight wrapText="bothSides">
                    <wp:wrapPolygon edited="0">
                      <wp:start x="0" y="0"/>
                      <wp:lineTo x="0" y="21264"/>
                      <wp:lineTo x="21192" y="21264"/>
                      <wp:lineTo x="21192" y="0"/>
                      <wp:lineTo x="0" y="0"/>
                    </wp:wrapPolygon>
                  </wp:wrapTight>
                  <wp:docPr id="3" name="Picture 3" descr="KBD16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D168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9" w:type="pct"/>
            <w:vAlign w:val="center"/>
          </w:tcPr>
          <w:p w14:paraId="7B4E4E58" w14:textId="77777777" w:rsidR="00E94815" w:rsidRPr="00AE6CDD" w:rsidRDefault="00E94815" w:rsidP="00F4237C">
            <w:pPr>
              <w:jc w:val="center"/>
              <w:rPr>
                <w:rFonts w:ascii="Arial" w:hAnsi="Arial" w:cs="Arial"/>
                <w:sz w:val="24"/>
                <w:szCs w:val="24"/>
              </w:rPr>
            </w:pPr>
            <w:r w:rsidRPr="00AE6CDD">
              <w:rPr>
                <w:rFonts w:ascii="Arial" w:eastAsia="Times New Roman" w:hAnsi="Arial" w:cs="Arial"/>
                <w:noProof/>
                <w:color w:val="0066CC"/>
                <w:sz w:val="24"/>
                <w:szCs w:val="24"/>
                <w:lang w:eastAsia="en-GB"/>
              </w:rPr>
              <w:drawing>
                <wp:anchor distT="0" distB="0" distL="114300" distR="114300" simplePos="0" relativeHeight="251664384" behindDoc="1" locked="0" layoutInCell="1" allowOverlap="1" wp14:anchorId="0977098D" wp14:editId="36B619B3">
                  <wp:simplePos x="0" y="0"/>
                  <wp:positionH relativeFrom="column">
                    <wp:posOffset>1001395</wp:posOffset>
                  </wp:positionH>
                  <wp:positionV relativeFrom="paragraph">
                    <wp:posOffset>0</wp:posOffset>
                  </wp:positionV>
                  <wp:extent cx="904875" cy="1203325"/>
                  <wp:effectExtent l="0" t="0" r="9525" b="0"/>
                  <wp:wrapTight wrapText="bothSides">
                    <wp:wrapPolygon edited="0">
                      <wp:start x="0" y="0"/>
                      <wp:lineTo x="0" y="21201"/>
                      <wp:lineTo x="21373" y="21201"/>
                      <wp:lineTo x="21373" y="0"/>
                      <wp:lineTo x="0" y="0"/>
                    </wp:wrapPolygon>
                  </wp:wrapTight>
                  <wp:docPr id="5" name="Picture 5" descr="KFD0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FD02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203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4815" w:rsidRPr="00AE6CDD" w14:paraId="146CA0EB" w14:textId="77777777" w:rsidTr="00F4237C">
        <w:trPr>
          <w:trHeight w:val="841"/>
        </w:trPr>
        <w:tc>
          <w:tcPr>
            <w:tcW w:w="2501" w:type="pct"/>
            <w:vAlign w:val="center"/>
          </w:tcPr>
          <w:p w14:paraId="2AB3A1B1" w14:textId="77777777" w:rsidR="00E94815" w:rsidRPr="00AE6CDD" w:rsidRDefault="004C116E" w:rsidP="00F4237C">
            <w:pPr>
              <w:rPr>
                <w:rFonts w:ascii="Arial" w:hAnsi="Arial" w:cs="Arial"/>
                <w:b/>
                <w:sz w:val="24"/>
                <w:szCs w:val="24"/>
              </w:rPr>
            </w:pPr>
            <w:hyperlink r:id="rId11" w:history="1">
              <w:r w:rsidR="00E94815" w:rsidRPr="00AE6CDD">
                <w:rPr>
                  <w:rStyle w:val="Hyperlink"/>
                  <w:rFonts w:ascii="Arial" w:hAnsi="Arial" w:cs="Arial"/>
                  <w:b/>
                  <w:sz w:val="24"/>
                  <w:szCs w:val="24"/>
                </w:rPr>
                <w:t>http://my.supplychain.nhs.uk/catalogue/search?query=KBD1683</w:t>
              </w:r>
            </w:hyperlink>
          </w:p>
        </w:tc>
        <w:tc>
          <w:tcPr>
            <w:tcW w:w="2499" w:type="pct"/>
            <w:vAlign w:val="center"/>
          </w:tcPr>
          <w:p w14:paraId="484EDC77" w14:textId="77777777" w:rsidR="00E94815" w:rsidRPr="00AE6CDD" w:rsidRDefault="004C116E" w:rsidP="00F4237C">
            <w:pPr>
              <w:rPr>
                <w:rFonts w:ascii="Arial" w:hAnsi="Arial" w:cs="Arial"/>
                <w:b/>
                <w:sz w:val="24"/>
                <w:szCs w:val="24"/>
              </w:rPr>
            </w:pPr>
            <w:hyperlink r:id="rId12" w:history="1">
              <w:r w:rsidR="00E94815" w:rsidRPr="00AE6CDD">
                <w:rPr>
                  <w:rStyle w:val="Hyperlink"/>
                  <w:rFonts w:ascii="Arial" w:hAnsi="Arial" w:cs="Arial"/>
                  <w:b/>
                  <w:sz w:val="24"/>
                  <w:szCs w:val="24"/>
                </w:rPr>
                <w:t>http://my.supplychain.nhs.uk/Catalogue/search?LastCartId=&amp;LastFavouriteId=&amp;HideMaskedProducts=false&amp;QueryType=All&amp;Query=KFD268&amp;x=22&amp;y=12</w:t>
              </w:r>
            </w:hyperlink>
          </w:p>
        </w:tc>
      </w:tr>
    </w:tbl>
    <w:p w14:paraId="26660920" w14:textId="77777777" w:rsidR="002477C8" w:rsidRDefault="002477C8" w:rsidP="002477C8">
      <w:pPr>
        <w:ind w:left="-142"/>
        <w:rPr>
          <w:rFonts w:ascii="Arial" w:hAnsi="Arial" w:cs="Arial"/>
          <w:i/>
          <w:szCs w:val="24"/>
        </w:rPr>
      </w:pPr>
    </w:p>
    <w:p w14:paraId="3378DB7B" w14:textId="77777777" w:rsidR="0043367F" w:rsidRPr="00E94815" w:rsidRDefault="00E94815" w:rsidP="002477C8">
      <w:pPr>
        <w:ind w:left="-142"/>
        <w:rPr>
          <w:rFonts w:ascii="Arial" w:hAnsi="Arial" w:cs="Arial"/>
        </w:rPr>
      </w:pPr>
      <w:r w:rsidRPr="00286AE3">
        <w:rPr>
          <w:rFonts w:ascii="Arial" w:hAnsi="Arial" w:cs="Arial"/>
          <w:i/>
          <w:szCs w:val="24"/>
        </w:rPr>
        <w:t>Please note - this is not relevant to any tests that are sent to Basingstoke Pathology lab as they use a different sample bag, meaning there is no need for a separate liner.</w:t>
      </w:r>
    </w:p>
    <w:p w14:paraId="3E88C2C5" w14:textId="77777777" w:rsidR="002477C8" w:rsidRDefault="002477C8" w:rsidP="00E94815">
      <w:pPr>
        <w:jc w:val="both"/>
        <w:rPr>
          <w:rFonts w:ascii="Arial" w:hAnsi="Arial" w:cs="Arial"/>
          <w:b/>
          <w:u w:val="single"/>
        </w:rPr>
      </w:pPr>
    </w:p>
    <w:p w14:paraId="1FA4C52D" w14:textId="77777777" w:rsidR="0043367F" w:rsidRPr="00E94815" w:rsidRDefault="0043367F" w:rsidP="00E94815">
      <w:pPr>
        <w:jc w:val="both"/>
        <w:rPr>
          <w:rFonts w:ascii="Arial" w:hAnsi="Arial" w:cs="Arial"/>
          <w:b/>
          <w:u w:val="single"/>
        </w:rPr>
      </w:pPr>
      <w:r w:rsidRPr="00E94815">
        <w:rPr>
          <w:rFonts w:ascii="Arial" w:hAnsi="Arial" w:cs="Arial"/>
          <w:b/>
          <w:u w:val="single"/>
        </w:rPr>
        <w:t>Please make sure you package ALL samples</w:t>
      </w:r>
      <w:r w:rsidR="00E94815">
        <w:rPr>
          <w:rFonts w:ascii="Arial" w:hAnsi="Arial" w:cs="Arial"/>
          <w:b/>
          <w:u w:val="single"/>
        </w:rPr>
        <w:t xml:space="preserve"> ready for collection</w:t>
      </w:r>
    </w:p>
    <w:p w14:paraId="0F2D1F60" w14:textId="77777777" w:rsidR="0043367F" w:rsidRDefault="0043367F" w:rsidP="0043367F">
      <w:pPr>
        <w:jc w:val="both"/>
        <w:rPr>
          <w:rFonts w:ascii="Arial" w:hAnsi="Arial" w:cs="Arial"/>
        </w:rPr>
      </w:pPr>
      <w:r w:rsidRPr="00E94815">
        <w:rPr>
          <w:rFonts w:ascii="Arial" w:hAnsi="Arial" w:cs="Arial"/>
        </w:rPr>
        <w:t>It is the responsibility of the staff members at each site to package the samples in the liners and transport bags, ready for collection by the Non Patient Courier Transport Service.  The transport bag should be zipped closed by the staff member, before being handed over to the driver.</w:t>
      </w:r>
    </w:p>
    <w:p w14:paraId="5119590D" w14:textId="77777777" w:rsidR="0043367F" w:rsidRDefault="0043367F" w:rsidP="002477C8">
      <w:pPr>
        <w:jc w:val="both"/>
        <w:rPr>
          <w:rFonts w:ascii="Arial" w:hAnsi="Arial" w:cs="Arial"/>
          <w:b/>
          <w:sz w:val="24"/>
          <w:szCs w:val="24"/>
          <w:u w:val="single"/>
        </w:rPr>
      </w:pPr>
      <w:r w:rsidRPr="006B78D4">
        <w:rPr>
          <w:rFonts w:ascii="Arial" w:hAnsi="Arial" w:cs="Arial"/>
        </w:rPr>
        <w:t xml:space="preserve">The ADR Regulations state that in order to be compliant with the packaging of samples, ERS cannot be the </w:t>
      </w:r>
      <w:r>
        <w:rPr>
          <w:rFonts w:ascii="Arial" w:hAnsi="Arial" w:cs="Arial"/>
        </w:rPr>
        <w:t>‘</w:t>
      </w:r>
      <w:r w:rsidRPr="006B78D4">
        <w:rPr>
          <w:rFonts w:ascii="Arial" w:hAnsi="Arial" w:cs="Arial"/>
        </w:rPr>
        <w:t>consigner</w:t>
      </w:r>
      <w:r>
        <w:rPr>
          <w:rFonts w:ascii="Arial" w:hAnsi="Arial" w:cs="Arial"/>
        </w:rPr>
        <w:t>’</w:t>
      </w:r>
      <w:r w:rsidRPr="006B78D4">
        <w:rPr>
          <w:rFonts w:ascii="Arial" w:hAnsi="Arial" w:cs="Arial"/>
        </w:rPr>
        <w:t xml:space="preserve"> and the </w:t>
      </w:r>
      <w:r>
        <w:rPr>
          <w:rFonts w:ascii="Arial" w:hAnsi="Arial" w:cs="Arial"/>
        </w:rPr>
        <w:t>‘</w:t>
      </w:r>
      <w:r w:rsidRPr="006B78D4">
        <w:rPr>
          <w:rFonts w:ascii="Arial" w:hAnsi="Arial" w:cs="Arial"/>
        </w:rPr>
        <w:t>consignee</w:t>
      </w:r>
      <w:r>
        <w:rPr>
          <w:rFonts w:ascii="Arial" w:hAnsi="Arial" w:cs="Arial"/>
        </w:rPr>
        <w:t>’.  This means</w:t>
      </w:r>
      <w:r w:rsidRPr="006B78D4">
        <w:rPr>
          <w:rFonts w:ascii="Arial" w:hAnsi="Arial" w:cs="Arial"/>
        </w:rPr>
        <w:t xml:space="preserve"> that </w:t>
      </w:r>
      <w:r>
        <w:rPr>
          <w:rFonts w:ascii="Arial" w:hAnsi="Arial" w:cs="Arial"/>
        </w:rPr>
        <w:t xml:space="preserve">the Courier </w:t>
      </w:r>
      <w:r w:rsidRPr="00AC6CA3">
        <w:rPr>
          <w:rFonts w:ascii="Arial" w:hAnsi="Arial" w:cs="Arial"/>
          <w:b/>
        </w:rPr>
        <w:t xml:space="preserve">cannot </w:t>
      </w:r>
      <w:r w:rsidRPr="006B78D4">
        <w:rPr>
          <w:rFonts w:ascii="Arial" w:hAnsi="Arial" w:cs="Arial"/>
        </w:rPr>
        <w:t>place any samples in the transport bags.</w:t>
      </w:r>
      <w:r>
        <w:rPr>
          <w:rFonts w:ascii="Arial" w:hAnsi="Arial" w:cs="Arial"/>
        </w:rPr>
        <w:t xml:space="preserve">  If you do not package the samples, complying with the three lines of defence, your package </w:t>
      </w:r>
      <w:r w:rsidRPr="000D1BFC">
        <w:rPr>
          <w:rFonts w:ascii="Arial" w:hAnsi="Arial" w:cs="Arial"/>
          <w:b/>
        </w:rPr>
        <w:t>will not</w:t>
      </w:r>
      <w:r>
        <w:rPr>
          <w:rFonts w:ascii="Arial" w:hAnsi="Arial" w:cs="Arial"/>
        </w:rPr>
        <w:t xml:space="preserve"> be accepted by the Courier.  </w:t>
      </w:r>
      <w:r>
        <w:rPr>
          <w:rFonts w:ascii="Arial" w:eastAsia="Times New Roman" w:hAnsi="Arial" w:cs="Arial"/>
          <w:bCs/>
        </w:rPr>
        <w:t xml:space="preserve">If you have any queries or concerns, please e-mail </w:t>
      </w:r>
      <w:hyperlink r:id="rId13" w:history="1">
        <w:r w:rsidRPr="00DD76FA">
          <w:rPr>
            <w:rStyle w:val="Hyperlink"/>
            <w:rFonts w:ascii="Arial" w:eastAsia="Times New Roman" w:hAnsi="Arial" w:cs="Arial"/>
            <w:bCs/>
          </w:rPr>
          <w:t>estateservices-contracts@southernhealth.nhs.uk</w:t>
        </w:r>
      </w:hyperlink>
    </w:p>
    <w:sectPr w:rsidR="0043367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AC05" w14:textId="77777777" w:rsidR="00301586" w:rsidRDefault="00301586" w:rsidP="00301586">
      <w:pPr>
        <w:spacing w:after="0" w:line="240" w:lineRule="auto"/>
      </w:pPr>
      <w:r>
        <w:separator/>
      </w:r>
    </w:p>
  </w:endnote>
  <w:endnote w:type="continuationSeparator" w:id="0">
    <w:p w14:paraId="01D2B458" w14:textId="77777777" w:rsidR="00301586" w:rsidRDefault="00301586" w:rsidP="0030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1EF0" w14:textId="77777777" w:rsidR="000A1F4D" w:rsidRDefault="0043367F">
    <w:pPr>
      <w:pStyle w:val="Footer"/>
    </w:pPr>
    <w:r>
      <w:t>Updated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B9B4" w14:textId="77777777" w:rsidR="00301586" w:rsidRDefault="00301586" w:rsidP="00301586">
      <w:pPr>
        <w:spacing w:after="0" w:line="240" w:lineRule="auto"/>
      </w:pPr>
      <w:r>
        <w:separator/>
      </w:r>
    </w:p>
  </w:footnote>
  <w:footnote w:type="continuationSeparator" w:id="0">
    <w:p w14:paraId="3E589419" w14:textId="77777777" w:rsidR="00301586" w:rsidRDefault="00301586" w:rsidP="0030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55C" w14:textId="77777777" w:rsidR="00301586" w:rsidRPr="00301586" w:rsidRDefault="00301586">
    <w:pPr>
      <w:pStyle w:val="Header"/>
      <w:rPr>
        <w:b/>
      </w:rPr>
    </w:pPr>
    <w:r w:rsidRPr="00301586">
      <w:rPr>
        <w:b/>
        <w:noProof/>
        <w:lang w:eastAsia="en-GB"/>
      </w:rPr>
      <w:drawing>
        <wp:anchor distT="0" distB="0" distL="114300" distR="114300" simplePos="0" relativeHeight="251660288" behindDoc="1" locked="0" layoutInCell="1" allowOverlap="1" wp14:anchorId="6D031F95" wp14:editId="2BDF996E">
          <wp:simplePos x="0" y="0"/>
          <wp:positionH relativeFrom="column">
            <wp:posOffset>-695325</wp:posOffset>
          </wp:positionH>
          <wp:positionV relativeFrom="paragraph">
            <wp:posOffset>-449580</wp:posOffset>
          </wp:positionV>
          <wp:extent cx="949960" cy="945727"/>
          <wp:effectExtent l="0" t="0" r="2540" b="6985"/>
          <wp:wrapNone/>
          <wp:docPr id="1" name="Picture 1" descr="Captur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945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586">
      <w:rPr>
        <w:b/>
        <w:noProof/>
        <w:lang w:eastAsia="en-GB"/>
      </w:rPr>
      <w:drawing>
        <wp:anchor distT="0" distB="0" distL="114300" distR="114300" simplePos="0" relativeHeight="251659264" behindDoc="1" locked="0" layoutInCell="1" allowOverlap="1" wp14:anchorId="3C0DE601" wp14:editId="7C3D946B">
          <wp:simplePos x="0" y="0"/>
          <wp:positionH relativeFrom="column">
            <wp:posOffset>4737100</wp:posOffset>
          </wp:positionH>
          <wp:positionV relativeFrom="paragraph">
            <wp:posOffset>-294640</wp:posOffset>
          </wp:positionV>
          <wp:extent cx="1719580" cy="757555"/>
          <wp:effectExtent l="0" t="0" r="0" b="4445"/>
          <wp:wrapTight wrapText="bothSides">
            <wp:wrapPolygon edited="0">
              <wp:start x="0" y="0"/>
              <wp:lineTo x="0" y="21184"/>
              <wp:lineTo x="21297" y="21184"/>
              <wp:lineTo x="21297" y="0"/>
              <wp:lineTo x="0" y="0"/>
            </wp:wrapPolygon>
          </wp:wrapTight>
          <wp:docPr id="7" name="Picture 7" descr="Southern Health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rn Health Logo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67D1"/>
    <w:multiLevelType w:val="hybridMultilevel"/>
    <w:tmpl w:val="77080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22A25"/>
    <w:multiLevelType w:val="hybridMultilevel"/>
    <w:tmpl w:val="77080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00061"/>
    <w:multiLevelType w:val="hybridMultilevel"/>
    <w:tmpl w:val="77080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A0AAD"/>
    <w:multiLevelType w:val="hybridMultilevel"/>
    <w:tmpl w:val="0292DA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86"/>
    <w:rsid w:val="000A1F4D"/>
    <w:rsid w:val="00106022"/>
    <w:rsid w:val="002477C8"/>
    <w:rsid w:val="00286AE3"/>
    <w:rsid w:val="00301586"/>
    <w:rsid w:val="003D43EE"/>
    <w:rsid w:val="003D65EC"/>
    <w:rsid w:val="0043367F"/>
    <w:rsid w:val="004C116E"/>
    <w:rsid w:val="00761907"/>
    <w:rsid w:val="007912EA"/>
    <w:rsid w:val="00912265"/>
    <w:rsid w:val="00925007"/>
    <w:rsid w:val="00A009EA"/>
    <w:rsid w:val="00A201D7"/>
    <w:rsid w:val="00BA2F01"/>
    <w:rsid w:val="00C653AF"/>
    <w:rsid w:val="00E637C1"/>
    <w:rsid w:val="00E94815"/>
    <w:rsid w:val="00E952F6"/>
    <w:rsid w:val="00EA5DD2"/>
    <w:rsid w:val="00F21B3C"/>
    <w:rsid w:val="00F52877"/>
    <w:rsid w:val="00FD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CB4"/>
  <w15:docId w15:val="{526B31C2-6405-4AEF-A323-2B37FE09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86"/>
  </w:style>
  <w:style w:type="paragraph" w:styleId="Footer">
    <w:name w:val="footer"/>
    <w:basedOn w:val="Normal"/>
    <w:link w:val="FooterChar"/>
    <w:uiPriority w:val="99"/>
    <w:unhideWhenUsed/>
    <w:rsid w:val="00301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86"/>
  </w:style>
  <w:style w:type="character" w:styleId="Hyperlink">
    <w:name w:val="Hyperlink"/>
    <w:basedOn w:val="DefaultParagraphFont"/>
    <w:uiPriority w:val="99"/>
    <w:unhideWhenUsed/>
    <w:rsid w:val="007912EA"/>
    <w:rPr>
      <w:color w:val="0563C1" w:themeColor="hyperlink"/>
      <w:u w:val="single"/>
    </w:rPr>
  </w:style>
  <w:style w:type="table" w:styleId="TableGrid">
    <w:name w:val="Table Grid"/>
    <w:basedOn w:val="TableNormal"/>
    <w:uiPriority w:val="59"/>
    <w:rsid w:val="007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5EC"/>
    <w:pPr>
      <w:spacing w:after="0" w:line="240" w:lineRule="auto"/>
      <w:ind w:left="720"/>
      <w:contextualSpacing/>
    </w:pPr>
    <w:rPr>
      <w:rFonts w:ascii="Calibri" w:hAnsi="Calibri" w:cs="Calibri"/>
      <w:lang w:eastAsia="en-GB"/>
    </w:rPr>
  </w:style>
  <w:style w:type="character" w:styleId="FollowedHyperlink">
    <w:name w:val="FollowedHyperlink"/>
    <w:basedOn w:val="DefaultParagraphFont"/>
    <w:uiPriority w:val="99"/>
    <w:semiHidden/>
    <w:unhideWhenUsed/>
    <w:rsid w:val="000A1F4D"/>
    <w:rPr>
      <w:color w:val="954F72" w:themeColor="followedHyperlink"/>
      <w:u w:val="single"/>
    </w:rPr>
  </w:style>
  <w:style w:type="paragraph" w:styleId="BalloonText">
    <w:name w:val="Balloon Text"/>
    <w:basedOn w:val="Normal"/>
    <w:link w:val="BalloonTextChar"/>
    <w:uiPriority w:val="99"/>
    <w:semiHidden/>
    <w:unhideWhenUsed/>
    <w:rsid w:val="0010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2127">
      <w:bodyDiv w:val="1"/>
      <w:marLeft w:val="0"/>
      <w:marRight w:val="0"/>
      <w:marTop w:val="0"/>
      <w:marBottom w:val="0"/>
      <w:divBdr>
        <w:top w:val="none" w:sz="0" w:space="0" w:color="auto"/>
        <w:left w:val="none" w:sz="0" w:space="0" w:color="auto"/>
        <w:bottom w:val="none" w:sz="0" w:space="0" w:color="auto"/>
        <w:right w:val="none" w:sz="0" w:space="0" w:color="auto"/>
      </w:divBdr>
    </w:div>
    <w:div w:id="20371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tateservices-contracts@southernhealth.nhs.uk" TargetMode="External"/><Relationship Id="rId3" Type="http://schemas.openxmlformats.org/officeDocument/2006/relationships/settings" Target="settings.xml"/><Relationship Id="rId7" Type="http://schemas.openxmlformats.org/officeDocument/2006/relationships/hyperlink" Target="https://my.supplychain.nhs.uk/Catalogue/product/kbd1683" TargetMode="External"/><Relationship Id="rId12" Type="http://schemas.openxmlformats.org/officeDocument/2006/relationships/hyperlink" Target="http://my.supplychain.nhs.uk/Catalogue/search?LastCartId=&amp;LastFavouriteId=&amp;HideMaskedProducts=false&amp;QueryType=All&amp;Query=KFD268&amp;x=22&amp;y=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supplychain.nhs.uk/catalogue/search?query=KBD16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y.supplychain.nhs.uk/Catalogue/product/kfd02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Tubb, Alicia</dc:creator>
  <cp:lastModifiedBy>DUNSDON, LIZZIE</cp:lastModifiedBy>
  <cp:revision>2</cp:revision>
  <cp:lastPrinted>2019-09-11T08:17:00Z</cp:lastPrinted>
  <dcterms:created xsi:type="dcterms:W3CDTF">2022-07-18T14:28:00Z</dcterms:created>
  <dcterms:modified xsi:type="dcterms:W3CDTF">2022-07-18T14:28:00Z</dcterms:modified>
</cp:coreProperties>
</file>