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F9FF" w14:textId="77777777" w:rsidR="00584CA0" w:rsidRPr="0020622A" w:rsidRDefault="00584CA0" w:rsidP="00584CA0">
      <w:pPr>
        <w:pStyle w:val="Header"/>
        <w:rPr>
          <w:color w:val="006FBA"/>
          <w:sz w:val="48"/>
        </w:rPr>
      </w:pPr>
      <w:r>
        <w:rPr>
          <w:color w:val="006FBA"/>
          <w:sz w:val="48"/>
        </w:rPr>
        <w:t>Guidelines for referral t</w:t>
      </w:r>
      <w:r w:rsidRPr="0020622A">
        <w:rPr>
          <w:color w:val="006FBA"/>
          <w:sz w:val="48"/>
        </w:rPr>
        <w:t xml:space="preserve">o </w:t>
      </w:r>
    </w:p>
    <w:p w14:paraId="78369715" w14:textId="51DD8A59" w:rsidR="00584CA0" w:rsidRPr="0020622A" w:rsidRDefault="00584CA0" w:rsidP="00584CA0">
      <w:pPr>
        <w:pStyle w:val="Header"/>
        <w:rPr>
          <w:color w:val="006FBA"/>
          <w:sz w:val="48"/>
        </w:rPr>
      </w:pPr>
      <w:r w:rsidRPr="0020622A">
        <w:rPr>
          <w:color w:val="006FBA"/>
          <w:sz w:val="48"/>
        </w:rPr>
        <w:t xml:space="preserve">Solent </w:t>
      </w:r>
      <w:r>
        <w:rPr>
          <w:color w:val="006FBA"/>
          <w:sz w:val="48"/>
        </w:rPr>
        <w:t>NHS</w:t>
      </w:r>
      <w:r w:rsidRPr="0020622A">
        <w:rPr>
          <w:color w:val="006FBA"/>
          <w:sz w:val="48"/>
        </w:rPr>
        <w:t xml:space="preserve"> Trust</w:t>
      </w:r>
    </w:p>
    <w:p w14:paraId="14B77AE8" w14:textId="2762F7A4" w:rsidR="00584CA0" w:rsidRPr="004D27A8" w:rsidRDefault="00584CA0" w:rsidP="004D27A8">
      <w:pPr>
        <w:pStyle w:val="Header"/>
        <w:rPr>
          <w:color w:val="006FBA"/>
          <w:sz w:val="48"/>
        </w:rPr>
      </w:pPr>
      <w:r w:rsidRPr="0020622A">
        <w:rPr>
          <w:color w:val="006FBA"/>
          <w:sz w:val="48"/>
        </w:rPr>
        <w:t>Special Care Dental Service</w:t>
      </w:r>
    </w:p>
    <w:p w14:paraId="3F32BA5B" w14:textId="77777777" w:rsidR="00584CA0" w:rsidRDefault="00584CA0" w:rsidP="00584CA0">
      <w:pPr>
        <w:rPr>
          <w:b/>
          <w:u w:val="single"/>
        </w:rPr>
      </w:pPr>
    </w:p>
    <w:p w14:paraId="1F58BE71" w14:textId="77777777" w:rsidR="00584CA0" w:rsidRPr="00961B9E" w:rsidRDefault="00584CA0" w:rsidP="004D27A8">
      <w:pPr>
        <w:pStyle w:val="NoSpacing"/>
        <w:rPr>
          <w:b/>
          <w:bCs/>
          <w:u w:val="single"/>
        </w:rPr>
      </w:pPr>
      <w:r w:rsidRPr="00961B9E">
        <w:rPr>
          <w:b/>
          <w:bCs/>
          <w:u w:val="single"/>
        </w:rPr>
        <w:t>Referring a patient to Solent NHS Trust Special Care Dental Service</w:t>
      </w:r>
    </w:p>
    <w:p w14:paraId="2A8EAF92" w14:textId="77777777" w:rsidR="00584CA0" w:rsidRDefault="00584CA0" w:rsidP="004D27A8">
      <w:pPr>
        <w:pStyle w:val="NoSpacing"/>
      </w:pPr>
    </w:p>
    <w:p w14:paraId="3EF2488F" w14:textId="75243CA2" w:rsidR="00584CA0" w:rsidRDefault="00584CA0" w:rsidP="004D27A8">
      <w:pPr>
        <w:pStyle w:val="NoSpacing"/>
      </w:pPr>
      <w:r>
        <w:t xml:space="preserve">This guide is intended to assist with the appropriate referral of patients with special needs or those requiring specialist, occasional care to Solent NHS Trust Special Care Dental Service. Patients referred to this service must be registered with a GP in the Hampshire or Isle of Wight area (Southampton, Portsmouth, Isle of </w:t>
      </w:r>
      <w:r w:rsidR="004D27A8">
        <w:t>Wight,</w:t>
      </w:r>
      <w:r>
        <w:t xml:space="preserve"> and the rest of Hampshire)</w:t>
      </w:r>
      <w:r w:rsidR="004D27A8">
        <w:t>.</w:t>
      </w:r>
    </w:p>
    <w:p w14:paraId="6FD66B97" w14:textId="77777777" w:rsidR="00584CA0" w:rsidRDefault="00584CA0" w:rsidP="004D27A8">
      <w:pPr>
        <w:pStyle w:val="NoSpacing"/>
        <w:rPr>
          <w:szCs w:val="22"/>
        </w:rPr>
      </w:pPr>
    </w:p>
    <w:p w14:paraId="0FEA714D" w14:textId="77777777" w:rsidR="00584CA0" w:rsidRDefault="00584CA0" w:rsidP="004D27A8">
      <w:pPr>
        <w:pStyle w:val="NoSpacing"/>
        <w:rPr>
          <w:szCs w:val="22"/>
        </w:rPr>
      </w:pPr>
      <w:r>
        <w:rPr>
          <w:szCs w:val="22"/>
        </w:rPr>
        <w:t xml:space="preserve">Solent NHS Trust </w:t>
      </w:r>
      <w:r>
        <w:t xml:space="preserve">Special Care </w:t>
      </w:r>
      <w:r>
        <w:rPr>
          <w:szCs w:val="22"/>
        </w:rPr>
        <w:t>Dental Service provides dental care for children and adults who have a special need including those with a physical, sensory, intellectual mental, medical, emotional or social impairment or disability or a combination of these that prevent them from accessing care through the General Dental Services.</w:t>
      </w:r>
    </w:p>
    <w:p w14:paraId="30094AC0" w14:textId="77777777" w:rsidR="00584CA0" w:rsidRDefault="00584CA0" w:rsidP="004D27A8">
      <w:pPr>
        <w:pStyle w:val="NoSpacing"/>
        <w:rPr>
          <w:szCs w:val="22"/>
        </w:rPr>
      </w:pPr>
    </w:p>
    <w:p w14:paraId="6F856EEE" w14:textId="77777777" w:rsidR="00584CA0" w:rsidRDefault="00584CA0" w:rsidP="004D27A8">
      <w:pPr>
        <w:pStyle w:val="NoSpacing"/>
        <w:rPr>
          <w:szCs w:val="22"/>
        </w:rPr>
      </w:pPr>
      <w:r>
        <w:rPr>
          <w:szCs w:val="22"/>
        </w:rPr>
        <w:t>It also provides specialist occasional care, supporting care in general dental practice by providing a single or staged course of treatment as part of a joint treatment plan with the referring dentist for patients who are unable to receive care in general dental practice due to medical, physical or behavioural difficulties. Patients will usually be seen for a course of treatment then will be discharged back to the General Dental Services unless it is necessary for continuing care to be provided in this service because of the patient’s special need or disability.</w:t>
      </w:r>
    </w:p>
    <w:p w14:paraId="6CFD8FBA" w14:textId="77777777" w:rsidR="00584CA0" w:rsidRPr="00034B1B" w:rsidRDefault="00584CA0" w:rsidP="004D27A8">
      <w:pPr>
        <w:pStyle w:val="NoSpacing"/>
        <w:rPr>
          <w:szCs w:val="22"/>
        </w:rPr>
      </w:pPr>
    </w:p>
    <w:p w14:paraId="567FC8BB" w14:textId="77777777" w:rsidR="00584CA0" w:rsidRDefault="00584CA0" w:rsidP="004D27A8">
      <w:pPr>
        <w:pStyle w:val="NoSpacing"/>
        <w:rPr>
          <w:szCs w:val="22"/>
        </w:rPr>
      </w:pPr>
      <w:r w:rsidRPr="005F4329">
        <w:rPr>
          <w:szCs w:val="22"/>
        </w:rPr>
        <w:t xml:space="preserve">Treatment may be provided under local anaesthesia, inhalation sedation, intravenous sedation for adults, or general anaesthesia for children and adults with special needs. Please note general anaesthesia is not provided for </w:t>
      </w:r>
      <w:r>
        <w:rPr>
          <w:szCs w:val="22"/>
        </w:rPr>
        <w:t xml:space="preserve">routine dental care for </w:t>
      </w:r>
      <w:r w:rsidRPr="005F4329">
        <w:rPr>
          <w:szCs w:val="22"/>
        </w:rPr>
        <w:t xml:space="preserve">adults without a special need. </w:t>
      </w:r>
    </w:p>
    <w:p w14:paraId="7F449901" w14:textId="77777777" w:rsidR="00584CA0" w:rsidRDefault="00584CA0" w:rsidP="004D27A8">
      <w:pPr>
        <w:pStyle w:val="NoSpacing"/>
        <w:rPr>
          <w:szCs w:val="22"/>
        </w:rPr>
      </w:pPr>
    </w:p>
    <w:p w14:paraId="05AEAADC" w14:textId="77777777" w:rsidR="00584CA0" w:rsidRPr="005F4329" w:rsidRDefault="00584CA0" w:rsidP="004D27A8">
      <w:pPr>
        <w:pStyle w:val="NoSpacing"/>
        <w:rPr>
          <w:szCs w:val="22"/>
        </w:rPr>
      </w:pPr>
      <w:r>
        <w:rPr>
          <w:szCs w:val="22"/>
        </w:rPr>
        <w:t xml:space="preserve">For those who are housebound or frail elderly people a domiciliary service can be provided. </w:t>
      </w:r>
    </w:p>
    <w:p w14:paraId="18DD7831" w14:textId="77777777" w:rsidR="00584CA0" w:rsidRDefault="00584CA0" w:rsidP="004D27A8">
      <w:pPr>
        <w:pStyle w:val="NoSpacing"/>
        <w:rPr>
          <w:szCs w:val="22"/>
        </w:rPr>
      </w:pPr>
    </w:p>
    <w:p w14:paraId="0358A11C" w14:textId="77777777" w:rsidR="00584CA0" w:rsidRPr="00961B9E" w:rsidRDefault="00584CA0" w:rsidP="004D27A8">
      <w:pPr>
        <w:pStyle w:val="NoSpacing"/>
        <w:rPr>
          <w:b/>
          <w:bCs/>
          <w:szCs w:val="22"/>
          <w:u w:val="single"/>
        </w:rPr>
      </w:pPr>
      <w:r w:rsidRPr="00961B9E">
        <w:rPr>
          <w:b/>
          <w:bCs/>
          <w:szCs w:val="22"/>
          <w:u w:val="single"/>
        </w:rPr>
        <w:t xml:space="preserve">Service Locations </w:t>
      </w:r>
    </w:p>
    <w:p w14:paraId="7A295036" w14:textId="1DE442FF" w:rsidR="00584CA0" w:rsidRDefault="00584CA0" w:rsidP="004D27A8">
      <w:pPr>
        <w:pStyle w:val="NoSpacing"/>
        <w:rPr>
          <w:szCs w:val="22"/>
        </w:rPr>
      </w:pPr>
      <w:r>
        <w:rPr>
          <w:szCs w:val="22"/>
        </w:rPr>
        <w:t xml:space="preserve">Services are provided at the following dental clinic </w:t>
      </w:r>
      <w:r w:rsidR="004D27A8">
        <w:rPr>
          <w:szCs w:val="22"/>
        </w:rPr>
        <w:t>locations:</w:t>
      </w:r>
    </w:p>
    <w:p w14:paraId="1DF72BCB" w14:textId="77777777" w:rsidR="00584CA0" w:rsidRPr="00961B9E" w:rsidRDefault="00584CA0" w:rsidP="004D27A8">
      <w:pPr>
        <w:pStyle w:val="NoSpacing"/>
        <w:rPr>
          <w:b/>
          <w:bCs/>
          <w:szCs w:val="22"/>
        </w:rPr>
      </w:pPr>
      <w:r w:rsidRPr="00961B9E">
        <w:rPr>
          <w:b/>
          <w:bCs/>
          <w:szCs w:val="22"/>
        </w:rPr>
        <w:t>Southampton</w:t>
      </w:r>
    </w:p>
    <w:p w14:paraId="2E57CE1C" w14:textId="77777777" w:rsidR="00584CA0" w:rsidRDefault="00584CA0" w:rsidP="004D27A8">
      <w:pPr>
        <w:pStyle w:val="NoSpacing"/>
        <w:rPr>
          <w:szCs w:val="22"/>
        </w:rPr>
      </w:pPr>
      <w:proofErr w:type="spellStart"/>
      <w:r w:rsidRPr="00034B1B">
        <w:rPr>
          <w:szCs w:val="22"/>
        </w:rPr>
        <w:t>Bitterne</w:t>
      </w:r>
      <w:proofErr w:type="spellEnd"/>
      <w:r>
        <w:rPr>
          <w:szCs w:val="22"/>
        </w:rPr>
        <w:t>;</w:t>
      </w:r>
      <w:r w:rsidRPr="00034B1B">
        <w:rPr>
          <w:szCs w:val="22"/>
        </w:rPr>
        <w:t xml:space="preserve"> Pickles Coppice Millbrook</w:t>
      </w:r>
      <w:r>
        <w:rPr>
          <w:szCs w:val="22"/>
        </w:rPr>
        <w:t>;</w:t>
      </w:r>
      <w:r w:rsidRPr="00034B1B">
        <w:rPr>
          <w:szCs w:val="22"/>
        </w:rPr>
        <w:t xml:space="preserve"> Royal South Hants Hospital</w:t>
      </w:r>
    </w:p>
    <w:p w14:paraId="798AC6F5" w14:textId="77777777" w:rsidR="00584CA0" w:rsidRPr="00961B9E" w:rsidRDefault="00584CA0" w:rsidP="004D27A8">
      <w:pPr>
        <w:pStyle w:val="NoSpacing"/>
        <w:rPr>
          <w:b/>
          <w:bCs/>
          <w:szCs w:val="22"/>
        </w:rPr>
      </w:pPr>
      <w:r w:rsidRPr="00961B9E">
        <w:rPr>
          <w:b/>
          <w:bCs/>
          <w:szCs w:val="22"/>
        </w:rPr>
        <w:t>Portsmouth</w:t>
      </w:r>
    </w:p>
    <w:p w14:paraId="5BFFAD72" w14:textId="77777777" w:rsidR="00584CA0" w:rsidRPr="00034B1B" w:rsidRDefault="00584CA0" w:rsidP="004D27A8">
      <w:pPr>
        <w:pStyle w:val="NoSpacing"/>
        <w:rPr>
          <w:szCs w:val="22"/>
        </w:rPr>
      </w:pPr>
      <w:proofErr w:type="spellStart"/>
      <w:r w:rsidRPr="00034B1B">
        <w:rPr>
          <w:szCs w:val="22"/>
        </w:rPr>
        <w:t>Eastney</w:t>
      </w:r>
      <w:proofErr w:type="spellEnd"/>
      <w:r>
        <w:rPr>
          <w:szCs w:val="22"/>
        </w:rPr>
        <w:t>;</w:t>
      </w:r>
      <w:r w:rsidRPr="00034B1B">
        <w:rPr>
          <w:szCs w:val="22"/>
        </w:rPr>
        <w:t xml:space="preserve"> Gosport</w:t>
      </w:r>
      <w:r>
        <w:rPr>
          <w:szCs w:val="22"/>
        </w:rPr>
        <w:t xml:space="preserve">; </w:t>
      </w:r>
      <w:proofErr w:type="spellStart"/>
      <w:r>
        <w:rPr>
          <w:szCs w:val="22"/>
        </w:rPr>
        <w:t>Som</w:t>
      </w:r>
      <w:r w:rsidRPr="00034B1B">
        <w:rPr>
          <w:szCs w:val="22"/>
        </w:rPr>
        <w:t>erstown</w:t>
      </w:r>
      <w:proofErr w:type="spellEnd"/>
      <w:r>
        <w:rPr>
          <w:szCs w:val="22"/>
        </w:rPr>
        <w:t xml:space="preserve">; </w:t>
      </w:r>
      <w:proofErr w:type="spellStart"/>
      <w:r>
        <w:rPr>
          <w:szCs w:val="22"/>
        </w:rPr>
        <w:t>Poswillo</w:t>
      </w:r>
      <w:proofErr w:type="spellEnd"/>
      <w:r>
        <w:rPr>
          <w:szCs w:val="22"/>
        </w:rPr>
        <w:t xml:space="preserve"> QA Hospital</w:t>
      </w:r>
    </w:p>
    <w:p w14:paraId="7AADE5C6" w14:textId="77777777" w:rsidR="00584CA0" w:rsidRPr="00961B9E" w:rsidRDefault="00584CA0" w:rsidP="004D27A8">
      <w:pPr>
        <w:pStyle w:val="NoSpacing"/>
        <w:rPr>
          <w:b/>
          <w:bCs/>
          <w:szCs w:val="22"/>
        </w:rPr>
      </w:pPr>
      <w:r w:rsidRPr="00961B9E">
        <w:rPr>
          <w:b/>
          <w:bCs/>
          <w:szCs w:val="22"/>
        </w:rPr>
        <w:t>Hampshire</w:t>
      </w:r>
    </w:p>
    <w:p w14:paraId="7C54C454" w14:textId="0CBB5C82" w:rsidR="00584CA0" w:rsidRDefault="00584CA0" w:rsidP="004D27A8">
      <w:pPr>
        <w:pStyle w:val="NoSpacing"/>
        <w:rPr>
          <w:szCs w:val="22"/>
        </w:rPr>
      </w:pPr>
      <w:r w:rsidRPr="00034B1B">
        <w:rPr>
          <w:szCs w:val="22"/>
        </w:rPr>
        <w:t>Aldershot</w:t>
      </w:r>
      <w:r>
        <w:rPr>
          <w:szCs w:val="22"/>
        </w:rPr>
        <w:t xml:space="preserve">; </w:t>
      </w:r>
      <w:r w:rsidRPr="00034B1B">
        <w:rPr>
          <w:szCs w:val="22"/>
        </w:rPr>
        <w:t>Andover</w:t>
      </w:r>
      <w:r>
        <w:rPr>
          <w:szCs w:val="22"/>
        </w:rPr>
        <w:t>;</w:t>
      </w:r>
      <w:r w:rsidRPr="00034B1B">
        <w:rPr>
          <w:szCs w:val="22"/>
        </w:rPr>
        <w:t xml:space="preserve"> </w:t>
      </w:r>
      <w:proofErr w:type="spellStart"/>
      <w:r w:rsidRPr="00034B1B">
        <w:rPr>
          <w:szCs w:val="22"/>
        </w:rPr>
        <w:t>Bramblys</w:t>
      </w:r>
      <w:proofErr w:type="spellEnd"/>
      <w:r w:rsidR="004D27A8">
        <w:rPr>
          <w:szCs w:val="22"/>
        </w:rPr>
        <w:t xml:space="preserve"> </w:t>
      </w:r>
      <w:r w:rsidRPr="00034B1B">
        <w:rPr>
          <w:szCs w:val="22"/>
        </w:rPr>
        <w:t>Grange Basingstoke</w:t>
      </w:r>
      <w:r>
        <w:rPr>
          <w:szCs w:val="22"/>
        </w:rPr>
        <w:t>;</w:t>
      </w:r>
      <w:r w:rsidRPr="00034B1B">
        <w:rPr>
          <w:szCs w:val="22"/>
        </w:rPr>
        <w:t xml:space="preserve"> Eastleigh</w:t>
      </w:r>
      <w:r>
        <w:rPr>
          <w:szCs w:val="22"/>
        </w:rPr>
        <w:t>;</w:t>
      </w:r>
      <w:r w:rsidRPr="00034B1B">
        <w:rPr>
          <w:szCs w:val="22"/>
        </w:rPr>
        <w:t xml:space="preserve"> Havant</w:t>
      </w:r>
      <w:r>
        <w:rPr>
          <w:szCs w:val="22"/>
        </w:rPr>
        <w:t>;</w:t>
      </w:r>
      <w:r w:rsidRPr="00034B1B">
        <w:rPr>
          <w:szCs w:val="22"/>
        </w:rPr>
        <w:t xml:space="preserve"> </w:t>
      </w:r>
      <w:r w:rsidR="004D27A8" w:rsidRPr="00034B1B">
        <w:rPr>
          <w:szCs w:val="22"/>
        </w:rPr>
        <w:t>Hythe</w:t>
      </w:r>
      <w:r w:rsidR="004D27A8">
        <w:rPr>
          <w:szCs w:val="22"/>
        </w:rPr>
        <w:t>;</w:t>
      </w:r>
      <w:r w:rsidR="004D27A8" w:rsidRPr="00034B1B">
        <w:rPr>
          <w:szCs w:val="22"/>
        </w:rPr>
        <w:t xml:space="preserve"> </w:t>
      </w:r>
      <w:r w:rsidR="004D27A8">
        <w:rPr>
          <w:szCs w:val="22"/>
        </w:rPr>
        <w:t>Petersfield</w:t>
      </w:r>
    </w:p>
    <w:p w14:paraId="5AFCBDD4" w14:textId="77777777" w:rsidR="00584CA0" w:rsidRPr="00961B9E" w:rsidRDefault="00584CA0" w:rsidP="004D27A8">
      <w:pPr>
        <w:pStyle w:val="NoSpacing"/>
        <w:rPr>
          <w:b/>
          <w:bCs/>
          <w:szCs w:val="22"/>
        </w:rPr>
      </w:pPr>
      <w:r w:rsidRPr="00961B9E">
        <w:rPr>
          <w:b/>
          <w:bCs/>
          <w:szCs w:val="22"/>
        </w:rPr>
        <w:t>Isle of Wight</w:t>
      </w:r>
    </w:p>
    <w:p w14:paraId="2D0B5CD6" w14:textId="2C04B7CB" w:rsidR="00584CA0" w:rsidRDefault="00584CA0" w:rsidP="004D27A8">
      <w:pPr>
        <w:pStyle w:val="NoSpacing"/>
        <w:rPr>
          <w:szCs w:val="22"/>
        </w:rPr>
      </w:pPr>
      <w:r>
        <w:rPr>
          <w:szCs w:val="22"/>
        </w:rPr>
        <w:t>Cowes</w:t>
      </w:r>
    </w:p>
    <w:p w14:paraId="4C0BA22A" w14:textId="755900AB" w:rsidR="00961B9E" w:rsidRDefault="00961B9E" w:rsidP="004D27A8">
      <w:pPr>
        <w:pStyle w:val="NoSpacing"/>
        <w:rPr>
          <w:szCs w:val="22"/>
        </w:rPr>
      </w:pPr>
    </w:p>
    <w:p w14:paraId="727B9109" w14:textId="77777777" w:rsidR="00961B9E" w:rsidRDefault="00961B9E" w:rsidP="004D27A8">
      <w:pPr>
        <w:pStyle w:val="NoSpacing"/>
        <w:rPr>
          <w:szCs w:val="22"/>
        </w:rPr>
      </w:pPr>
    </w:p>
    <w:p w14:paraId="27F54A05" w14:textId="2C6923C3" w:rsidR="00584CA0" w:rsidRDefault="00584CA0" w:rsidP="004D27A8">
      <w:pPr>
        <w:pStyle w:val="NoSpacing"/>
        <w:rPr>
          <w:szCs w:val="22"/>
        </w:rPr>
      </w:pPr>
      <w:r>
        <w:rPr>
          <w:szCs w:val="22"/>
        </w:rPr>
        <w:lastRenderedPageBreak/>
        <w:t xml:space="preserve">Patients requiring a general anaesthetic following assessment will be treated at hospital locations including: - Southampton General Hospital, Portsmouth </w:t>
      </w:r>
      <w:proofErr w:type="gramStart"/>
      <w:r>
        <w:rPr>
          <w:szCs w:val="22"/>
        </w:rPr>
        <w:t>Hospital</w:t>
      </w:r>
      <w:r w:rsidR="00093CB8">
        <w:rPr>
          <w:szCs w:val="22"/>
        </w:rPr>
        <w:t xml:space="preserve">, </w:t>
      </w:r>
      <w:r>
        <w:rPr>
          <w:szCs w:val="22"/>
        </w:rPr>
        <w:t xml:space="preserve"> </w:t>
      </w:r>
      <w:proofErr w:type="spellStart"/>
      <w:r>
        <w:rPr>
          <w:szCs w:val="22"/>
        </w:rPr>
        <w:t>Poswillo</w:t>
      </w:r>
      <w:proofErr w:type="spellEnd"/>
      <w:proofErr w:type="gramEnd"/>
      <w:r>
        <w:rPr>
          <w:szCs w:val="22"/>
        </w:rPr>
        <w:t xml:space="preserve"> </w:t>
      </w:r>
      <w:r w:rsidR="00093CB8">
        <w:rPr>
          <w:szCs w:val="22"/>
        </w:rPr>
        <w:t>Dental Centre</w:t>
      </w:r>
      <w:r>
        <w:rPr>
          <w:szCs w:val="22"/>
        </w:rPr>
        <w:t>, Royal Hampshire County Hospital Winchester, North Hampshire Hospital Basingstoke, St Mary’s Hospital IOW</w:t>
      </w:r>
      <w:r w:rsidR="00F74544">
        <w:rPr>
          <w:szCs w:val="22"/>
        </w:rPr>
        <w:t>.</w:t>
      </w:r>
    </w:p>
    <w:p w14:paraId="08257836" w14:textId="77777777" w:rsidR="00584CA0" w:rsidRPr="005F4329" w:rsidRDefault="00584CA0" w:rsidP="004D27A8">
      <w:pPr>
        <w:pStyle w:val="NoSpacing"/>
        <w:rPr>
          <w:szCs w:val="22"/>
        </w:rPr>
      </w:pPr>
    </w:p>
    <w:p w14:paraId="208173A8" w14:textId="5B16334A" w:rsidR="00584CA0" w:rsidRPr="00961B9E" w:rsidRDefault="00584CA0" w:rsidP="004D27A8">
      <w:pPr>
        <w:pStyle w:val="NoSpacing"/>
        <w:rPr>
          <w:b/>
          <w:bCs/>
          <w:u w:val="single"/>
        </w:rPr>
      </w:pPr>
      <w:r w:rsidRPr="00961B9E">
        <w:rPr>
          <w:b/>
          <w:bCs/>
          <w:u w:val="single"/>
        </w:rPr>
        <w:t>Referrals are accepted from</w:t>
      </w:r>
      <w:r w:rsidR="00961B9E">
        <w:rPr>
          <w:b/>
          <w:bCs/>
          <w:u w:val="single"/>
        </w:rPr>
        <w:t>:</w:t>
      </w:r>
    </w:p>
    <w:p w14:paraId="213EA4D0" w14:textId="77777777" w:rsidR="00584CA0" w:rsidRDefault="00584CA0" w:rsidP="00961B9E">
      <w:pPr>
        <w:pStyle w:val="NoSpacing"/>
        <w:numPr>
          <w:ilvl w:val="0"/>
          <w:numId w:val="7"/>
        </w:numPr>
      </w:pPr>
      <w:r>
        <w:t>Dental Practitioners</w:t>
      </w:r>
    </w:p>
    <w:p w14:paraId="7B457C8D" w14:textId="77777777" w:rsidR="00584CA0" w:rsidRDefault="00584CA0" w:rsidP="00961B9E">
      <w:pPr>
        <w:pStyle w:val="NoSpacing"/>
        <w:numPr>
          <w:ilvl w:val="0"/>
          <w:numId w:val="7"/>
        </w:numPr>
      </w:pPr>
      <w:r>
        <w:t>General Medical Practitioners</w:t>
      </w:r>
    </w:p>
    <w:p w14:paraId="33C827E2" w14:textId="77777777" w:rsidR="00584CA0" w:rsidRDefault="00584CA0" w:rsidP="00961B9E">
      <w:pPr>
        <w:pStyle w:val="NoSpacing"/>
        <w:numPr>
          <w:ilvl w:val="0"/>
          <w:numId w:val="7"/>
        </w:numPr>
      </w:pPr>
      <w:r>
        <w:t>Any other Health or Social Care Professional</w:t>
      </w:r>
    </w:p>
    <w:p w14:paraId="20AEC9EB" w14:textId="77777777" w:rsidR="00584CA0" w:rsidRDefault="00584CA0" w:rsidP="00961B9E">
      <w:pPr>
        <w:pStyle w:val="NoSpacing"/>
        <w:numPr>
          <w:ilvl w:val="0"/>
          <w:numId w:val="7"/>
        </w:numPr>
      </w:pPr>
      <w:r>
        <w:t>Voluntary organisations and community groups</w:t>
      </w:r>
    </w:p>
    <w:p w14:paraId="6C84F46A" w14:textId="77777777" w:rsidR="00584CA0" w:rsidRDefault="00584CA0" w:rsidP="00961B9E">
      <w:pPr>
        <w:pStyle w:val="NoSpacing"/>
        <w:numPr>
          <w:ilvl w:val="0"/>
          <w:numId w:val="7"/>
        </w:numPr>
      </w:pPr>
      <w:r>
        <w:t>Education / special schools</w:t>
      </w:r>
    </w:p>
    <w:p w14:paraId="25F64EA9" w14:textId="77777777" w:rsidR="00584CA0" w:rsidRDefault="00584CA0" w:rsidP="004D27A8">
      <w:pPr>
        <w:pStyle w:val="NoSpacing"/>
      </w:pPr>
    </w:p>
    <w:p w14:paraId="77962941" w14:textId="06A3CB0E" w:rsidR="00584CA0" w:rsidRPr="00961B9E" w:rsidRDefault="00584CA0" w:rsidP="004D27A8">
      <w:pPr>
        <w:pStyle w:val="NoSpacing"/>
        <w:rPr>
          <w:b/>
          <w:bCs/>
          <w:u w:val="single"/>
        </w:rPr>
      </w:pPr>
      <w:r w:rsidRPr="00961B9E">
        <w:rPr>
          <w:b/>
          <w:bCs/>
          <w:u w:val="single"/>
        </w:rPr>
        <w:t xml:space="preserve">Referral forms  </w:t>
      </w:r>
    </w:p>
    <w:p w14:paraId="56B99E78" w14:textId="6ECA3FE0" w:rsidR="00584CA0" w:rsidRPr="00E06583" w:rsidRDefault="00584CA0" w:rsidP="004D27A8">
      <w:pPr>
        <w:pStyle w:val="NoSpacing"/>
        <w:rPr>
          <w:szCs w:val="24"/>
        </w:rPr>
      </w:pPr>
      <w:r>
        <w:rPr>
          <w:szCs w:val="22"/>
        </w:rPr>
        <w:t xml:space="preserve">When making a referral, please use the referral forms attached. These can be copied as required or you can use an electronic version. If you require an electronic version, please telephone us on 0300 300 2014 Option 3 or e-mail </w:t>
      </w:r>
      <w:hyperlink r:id="rId7" w:tooltip="mailto:SNHS.CentralPointofReferral@nhs.net" w:history="1">
        <w:r w:rsidRPr="002378E9">
          <w:rPr>
            <w:rStyle w:val="Hyperlink"/>
            <w:rFonts w:cs="Arial"/>
            <w:color w:val="auto"/>
            <w:szCs w:val="24"/>
          </w:rPr>
          <w:t>SNHS.CentralPointofReferral@nhs.net</w:t>
        </w:r>
      </w:hyperlink>
    </w:p>
    <w:p w14:paraId="2A01452D" w14:textId="77777777" w:rsidR="00584CA0" w:rsidRDefault="00584CA0" w:rsidP="004D27A8">
      <w:pPr>
        <w:pStyle w:val="NoSpacing"/>
        <w:rPr>
          <w:szCs w:val="22"/>
        </w:rPr>
      </w:pPr>
      <w:r>
        <w:rPr>
          <w:szCs w:val="22"/>
        </w:rPr>
        <w:t xml:space="preserve"> </w:t>
      </w:r>
    </w:p>
    <w:p w14:paraId="3C3FEFD0" w14:textId="3ED6FE44" w:rsidR="00584CA0" w:rsidRDefault="00584CA0" w:rsidP="004D27A8">
      <w:pPr>
        <w:pStyle w:val="NoSpacing"/>
        <w:rPr>
          <w:szCs w:val="22"/>
        </w:rPr>
      </w:pPr>
      <w:r>
        <w:rPr>
          <w:szCs w:val="22"/>
        </w:rPr>
        <w:t xml:space="preserve">Using these forms ensures that we have all the relevant information that we require to process your referral in a timely manner. If any part of the form is incomplete the referral will be returned for completion and this could result in a delay in your patient being seen. </w:t>
      </w:r>
    </w:p>
    <w:p w14:paraId="58E550B1" w14:textId="705575E8" w:rsidR="00E55BE2" w:rsidRDefault="00E55BE2" w:rsidP="004D27A8">
      <w:pPr>
        <w:pStyle w:val="NoSpacing"/>
        <w:rPr>
          <w:szCs w:val="22"/>
        </w:rPr>
      </w:pPr>
    </w:p>
    <w:p w14:paraId="19993CCB" w14:textId="26BE06CC" w:rsidR="00E55BE2" w:rsidRDefault="00E55BE2" w:rsidP="004D27A8">
      <w:pPr>
        <w:pStyle w:val="NoSpacing"/>
        <w:rPr>
          <w:szCs w:val="22"/>
        </w:rPr>
      </w:pPr>
    </w:p>
    <w:bookmarkStart w:id="0" w:name="_MON_1720330934"/>
    <w:bookmarkEnd w:id="0"/>
    <w:p w14:paraId="63178BC9" w14:textId="7D436DD3" w:rsidR="00E55BE2" w:rsidRDefault="00B227B3" w:rsidP="004D27A8">
      <w:pPr>
        <w:pStyle w:val="NoSpacing"/>
        <w:rPr>
          <w:szCs w:val="22"/>
        </w:rPr>
      </w:pPr>
      <w:r>
        <w:rPr>
          <w:szCs w:val="22"/>
        </w:rPr>
        <w:object w:dxaOrig="1539" w:dyaOrig="995" w14:anchorId="585EF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720330957" r:id="rId9">
            <o:FieldCodes>\s</o:FieldCodes>
          </o:OLEObject>
        </w:object>
      </w:r>
      <w:bookmarkStart w:id="1" w:name="_MON_1720330949"/>
      <w:bookmarkEnd w:id="1"/>
      <w:r>
        <w:rPr>
          <w:szCs w:val="22"/>
        </w:rPr>
        <w:object w:dxaOrig="1539" w:dyaOrig="995" w14:anchorId="1ED9426C">
          <v:shape id="_x0000_i1026" type="#_x0000_t75" style="width:77.25pt;height:49.5pt" o:ole="">
            <v:imagedata r:id="rId10" o:title=""/>
          </v:shape>
          <o:OLEObject Type="Embed" ProgID="Word.Document.12" ShapeID="_x0000_i1026" DrawAspect="Icon" ObjectID="_1720330958" r:id="rId11">
            <o:FieldCodes>\s</o:FieldCodes>
          </o:OLEObject>
        </w:object>
      </w:r>
    </w:p>
    <w:p w14:paraId="008578AF" w14:textId="77777777" w:rsidR="00584CA0" w:rsidRDefault="00584CA0" w:rsidP="004D27A8">
      <w:pPr>
        <w:pStyle w:val="NoSpacing"/>
        <w:rPr>
          <w:szCs w:val="22"/>
        </w:rPr>
      </w:pPr>
    </w:p>
    <w:p w14:paraId="1B737A0A" w14:textId="77777777" w:rsidR="00584CA0" w:rsidRPr="00961B9E" w:rsidRDefault="00584CA0" w:rsidP="004D27A8">
      <w:pPr>
        <w:pStyle w:val="NoSpacing"/>
        <w:rPr>
          <w:b/>
          <w:bCs/>
          <w:szCs w:val="22"/>
          <w:u w:val="single"/>
        </w:rPr>
      </w:pPr>
      <w:r w:rsidRPr="00961B9E">
        <w:rPr>
          <w:b/>
          <w:bCs/>
          <w:szCs w:val="22"/>
          <w:u w:val="single"/>
        </w:rPr>
        <w:t>General information</w:t>
      </w:r>
    </w:p>
    <w:p w14:paraId="381D8868" w14:textId="4E3CF2F6" w:rsidR="00584CA0" w:rsidRDefault="00584CA0" w:rsidP="004D27A8">
      <w:pPr>
        <w:pStyle w:val="NoSpacing"/>
        <w:rPr>
          <w:szCs w:val="22"/>
        </w:rPr>
      </w:pPr>
      <w:r>
        <w:rPr>
          <w:szCs w:val="22"/>
        </w:rPr>
        <w:t>Please inform the patient</w:t>
      </w:r>
      <w:r w:rsidR="00961B9E">
        <w:rPr>
          <w:szCs w:val="22"/>
        </w:rPr>
        <w:t>:</w:t>
      </w:r>
    </w:p>
    <w:p w14:paraId="6006DAA7" w14:textId="77777777" w:rsidR="00584CA0" w:rsidRDefault="00584CA0" w:rsidP="00961B9E">
      <w:pPr>
        <w:pStyle w:val="NoSpacing"/>
        <w:numPr>
          <w:ilvl w:val="0"/>
          <w:numId w:val="8"/>
        </w:numPr>
        <w:rPr>
          <w:szCs w:val="22"/>
        </w:rPr>
      </w:pPr>
      <w:r>
        <w:rPr>
          <w:szCs w:val="22"/>
        </w:rPr>
        <w:t xml:space="preserve">The reason why you are making the referral </w:t>
      </w:r>
    </w:p>
    <w:p w14:paraId="01FF2B2A" w14:textId="77777777" w:rsidR="00584CA0" w:rsidRDefault="00584CA0" w:rsidP="00961B9E">
      <w:pPr>
        <w:pStyle w:val="NoSpacing"/>
        <w:numPr>
          <w:ilvl w:val="0"/>
          <w:numId w:val="8"/>
        </w:numPr>
        <w:rPr>
          <w:szCs w:val="22"/>
        </w:rPr>
      </w:pPr>
      <w:r>
        <w:rPr>
          <w:szCs w:val="22"/>
        </w:rPr>
        <w:t>That their initial appointment will usually be for an assessment only</w:t>
      </w:r>
    </w:p>
    <w:p w14:paraId="35278C5A" w14:textId="77777777" w:rsidR="00584CA0" w:rsidRDefault="00584CA0" w:rsidP="00961B9E">
      <w:pPr>
        <w:pStyle w:val="NoSpacing"/>
        <w:numPr>
          <w:ilvl w:val="0"/>
          <w:numId w:val="8"/>
        </w:numPr>
        <w:rPr>
          <w:szCs w:val="22"/>
        </w:rPr>
      </w:pPr>
      <w:r>
        <w:rPr>
          <w:szCs w:val="22"/>
        </w:rPr>
        <w:t>NHS dental charges apply (unless the patient is exempt)</w:t>
      </w:r>
    </w:p>
    <w:p w14:paraId="364AA7F2" w14:textId="77777777" w:rsidR="00584CA0" w:rsidRDefault="00584CA0" w:rsidP="004D27A8">
      <w:pPr>
        <w:pStyle w:val="NoSpacing"/>
        <w:rPr>
          <w:szCs w:val="22"/>
        </w:rPr>
      </w:pPr>
    </w:p>
    <w:p w14:paraId="6919C5FB" w14:textId="77777777" w:rsidR="00584CA0" w:rsidRPr="00961B9E" w:rsidRDefault="00584CA0" w:rsidP="004D27A8">
      <w:pPr>
        <w:pStyle w:val="NoSpacing"/>
        <w:rPr>
          <w:b/>
          <w:bCs/>
          <w:u w:val="single"/>
        </w:rPr>
      </w:pPr>
      <w:r w:rsidRPr="00961B9E">
        <w:rPr>
          <w:b/>
          <w:bCs/>
          <w:u w:val="single"/>
        </w:rPr>
        <w:t xml:space="preserve">Referrals for treatment under general anaesthesia </w:t>
      </w:r>
    </w:p>
    <w:p w14:paraId="1CCD0A93" w14:textId="77777777" w:rsidR="00584CA0" w:rsidRDefault="00584CA0" w:rsidP="004D27A8">
      <w:pPr>
        <w:pStyle w:val="NoSpacing"/>
      </w:pPr>
      <w:r>
        <w:t>Treatment under general anaesthesia for children and adults with special needs will only be considered as a last resort when treatment under local anaesthesia or conscious sedation is not feasible or appropriate.</w:t>
      </w:r>
    </w:p>
    <w:p w14:paraId="170EEBA5" w14:textId="0F4EC330" w:rsidR="00584CA0" w:rsidRDefault="00584CA0" w:rsidP="004D27A8">
      <w:pPr>
        <w:pStyle w:val="NoSpacing"/>
        <w:rPr>
          <w:rFonts w:cs="Arial"/>
          <w:szCs w:val="24"/>
        </w:rPr>
      </w:pPr>
    </w:p>
    <w:p w14:paraId="5BA2B47E" w14:textId="77777777" w:rsidR="00584CA0" w:rsidRDefault="00584CA0" w:rsidP="004D27A8">
      <w:pPr>
        <w:pStyle w:val="NoSpacing"/>
        <w:rPr>
          <w:rFonts w:cs="Arial"/>
          <w:szCs w:val="24"/>
        </w:rPr>
      </w:pPr>
    </w:p>
    <w:p w14:paraId="37E93E2B" w14:textId="213887C3" w:rsidR="00584CA0" w:rsidRPr="00584CA0" w:rsidRDefault="00584CA0" w:rsidP="004D27A8">
      <w:pPr>
        <w:pStyle w:val="NoSpacing"/>
        <w:rPr>
          <w:rFonts w:cs="Arial"/>
          <w:szCs w:val="24"/>
        </w:rPr>
      </w:pPr>
    </w:p>
    <w:p w14:paraId="285896FB" w14:textId="77777777" w:rsidR="00584CA0" w:rsidRPr="001A63A4" w:rsidRDefault="00584CA0" w:rsidP="004D27A8">
      <w:pPr>
        <w:pStyle w:val="NoSpacing"/>
        <w:rPr>
          <w:rFonts w:cs="Arial"/>
        </w:rPr>
      </w:pPr>
    </w:p>
    <w:p w14:paraId="588BE22A" w14:textId="0BC3D5AD" w:rsidR="00584CA0" w:rsidRDefault="00584CA0" w:rsidP="004D27A8">
      <w:pPr>
        <w:pStyle w:val="NoSpacing"/>
        <w:rPr>
          <w:rFonts w:cs="Arial"/>
          <w:szCs w:val="24"/>
        </w:rPr>
      </w:pPr>
    </w:p>
    <w:p w14:paraId="72E9085D" w14:textId="70F2D2AA" w:rsidR="00584CA0" w:rsidRDefault="00584CA0" w:rsidP="004D27A8">
      <w:pPr>
        <w:pStyle w:val="NoSpacing"/>
        <w:rPr>
          <w:rFonts w:cs="Arial"/>
          <w:szCs w:val="24"/>
        </w:rPr>
      </w:pPr>
    </w:p>
    <w:p w14:paraId="78A8FA60" w14:textId="050F162D" w:rsidR="00584CA0" w:rsidRDefault="00584CA0" w:rsidP="004D27A8">
      <w:pPr>
        <w:pStyle w:val="NoSpacing"/>
        <w:rPr>
          <w:rFonts w:cs="Arial"/>
          <w:szCs w:val="24"/>
        </w:rPr>
      </w:pPr>
    </w:p>
    <w:p w14:paraId="2ED26077" w14:textId="57CB7DD6" w:rsidR="00961B9E" w:rsidRDefault="00961B9E" w:rsidP="004D27A8">
      <w:pPr>
        <w:pStyle w:val="NoSpacing"/>
        <w:rPr>
          <w:rFonts w:cs="Arial"/>
          <w:szCs w:val="24"/>
        </w:rPr>
      </w:pPr>
    </w:p>
    <w:p w14:paraId="34A754F5" w14:textId="12730928" w:rsidR="00961B9E" w:rsidRDefault="00961B9E" w:rsidP="004D27A8">
      <w:pPr>
        <w:pStyle w:val="NoSpacing"/>
        <w:rPr>
          <w:rFonts w:cs="Arial"/>
          <w:szCs w:val="24"/>
        </w:rPr>
      </w:pPr>
    </w:p>
    <w:p w14:paraId="62330850" w14:textId="5AD2DB86" w:rsidR="00961B9E" w:rsidRDefault="00961B9E" w:rsidP="004D27A8">
      <w:pPr>
        <w:pStyle w:val="NoSpacing"/>
        <w:rPr>
          <w:rFonts w:cs="Arial"/>
          <w:szCs w:val="24"/>
        </w:rPr>
      </w:pPr>
    </w:p>
    <w:p w14:paraId="663C842F" w14:textId="3AA7FD7B" w:rsidR="00961B9E" w:rsidRDefault="00961B9E" w:rsidP="004D27A8">
      <w:pPr>
        <w:pStyle w:val="NoSpacing"/>
        <w:rPr>
          <w:rFonts w:cs="Arial"/>
          <w:szCs w:val="24"/>
        </w:rPr>
      </w:pPr>
    </w:p>
    <w:p w14:paraId="59B41B91" w14:textId="6D92793E" w:rsidR="00961B9E" w:rsidRDefault="00961B9E" w:rsidP="004D27A8">
      <w:pPr>
        <w:pStyle w:val="NoSpacing"/>
        <w:rPr>
          <w:rFonts w:cs="Arial"/>
          <w:szCs w:val="24"/>
        </w:rPr>
      </w:pPr>
    </w:p>
    <w:p w14:paraId="27422B1F" w14:textId="307D17CF" w:rsidR="00961B9E" w:rsidRDefault="00961B9E" w:rsidP="004D27A8">
      <w:pPr>
        <w:pStyle w:val="NoSpacing"/>
        <w:rPr>
          <w:rFonts w:cs="Arial"/>
          <w:szCs w:val="24"/>
        </w:rPr>
      </w:pPr>
    </w:p>
    <w:p w14:paraId="4A0727FB" w14:textId="0F95A27A" w:rsidR="00961B9E" w:rsidRDefault="00961B9E" w:rsidP="004D27A8">
      <w:pPr>
        <w:pStyle w:val="NoSpacing"/>
        <w:rPr>
          <w:rFonts w:cs="Arial"/>
          <w:szCs w:val="24"/>
        </w:rPr>
      </w:pPr>
    </w:p>
    <w:p w14:paraId="7A86D113" w14:textId="210FACEE" w:rsidR="00961B9E" w:rsidRDefault="00961B9E" w:rsidP="004D27A8">
      <w:pPr>
        <w:pStyle w:val="NoSpacing"/>
        <w:rPr>
          <w:rFonts w:cs="Arial"/>
          <w:szCs w:val="24"/>
        </w:rPr>
      </w:pPr>
    </w:p>
    <w:p w14:paraId="7169F702" w14:textId="77777777" w:rsidR="00961B9E" w:rsidRDefault="00961B9E" w:rsidP="004D27A8">
      <w:pPr>
        <w:pStyle w:val="NoSpacing"/>
        <w:rPr>
          <w:rFonts w:cs="Arial"/>
          <w:szCs w:val="24"/>
        </w:rPr>
      </w:pPr>
    </w:p>
    <w:p w14:paraId="26BC4A5C" w14:textId="77777777" w:rsidR="00093CB8" w:rsidRDefault="00093CB8" w:rsidP="004D27A8">
      <w:pPr>
        <w:pStyle w:val="NoSpacing"/>
        <w:rPr>
          <w:b/>
          <w:bCs/>
          <w:szCs w:val="22"/>
          <w:u w:val="single"/>
        </w:rPr>
      </w:pPr>
    </w:p>
    <w:p w14:paraId="09704CF6" w14:textId="7438164C" w:rsidR="00584CA0" w:rsidRPr="00961B9E" w:rsidRDefault="00584CA0" w:rsidP="004D27A8">
      <w:pPr>
        <w:pStyle w:val="NoSpacing"/>
        <w:rPr>
          <w:b/>
          <w:bCs/>
          <w:szCs w:val="22"/>
          <w:u w:val="single"/>
        </w:rPr>
      </w:pPr>
      <w:r w:rsidRPr="00961B9E">
        <w:rPr>
          <w:b/>
          <w:bCs/>
          <w:szCs w:val="22"/>
          <w:u w:val="single"/>
        </w:rPr>
        <w:t xml:space="preserve">Referral criteria </w:t>
      </w:r>
    </w:p>
    <w:p w14:paraId="34453BD4" w14:textId="77777777" w:rsidR="00584CA0" w:rsidRDefault="00584CA0" w:rsidP="004D27A8">
      <w:pPr>
        <w:pStyle w:val="NoSpacing"/>
        <w:rPr>
          <w:szCs w:val="22"/>
        </w:rPr>
      </w:pPr>
      <w:r w:rsidRPr="002019FD">
        <w:rPr>
          <w:szCs w:val="22"/>
        </w:rPr>
        <w:t xml:space="preserve">Referrals are accepted for children and adults </w:t>
      </w:r>
      <w:r>
        <w:rPr>
          <w:szCs w:val="22"/>
        </w:rPr>
        <w:t xml:space="preserve">with special care needs or those requiring specialist occasional care </w:t>
      </w:r>
      <w:r w:rsidRPr="002019FD">
        <w:rPr>
          <w:szCs w:val="22"/>
        </w:rPr>
        <w:t>who cannot be managed b</w:t>
      </w:r>
      <w:r>
        <w:rPr>
          <w:szCs w:val="22"/>
        </w:rPr>
        <w:t>y a General Dental Practitioner.</w:t>
      </w:r>
    </w:p>
    <w:p w14:paraId="5F151246" w14:textId="77777777" w:rsidR="00584CA0" w:rsidRDefault="00584CA0" w:rsidP="004D27A8">
      <w:pPr>
        <w:pStyle w:val="NoSpacing"/>
        <w:rPr>
          <w:szCs w:val="22"/>
        </w:rPr>
      </w:pPr>
    </w:p>
    <w:p w14:paraId="466AF49A" w14:textId="0AD0C9F1" w:rsidR="00584CA0" w:rsidRDefault="00584CA0" w:rsidP="004D27A8">
      <w:pPr>
        <w:pStyle w:val="NoSpacing"/>
        <w:rPr>
          <w:szCs w:val="22"/>
        </w:rPr>
      </w:pPr>
      <w:r>
        <w:rPr>
          <w:szCs w:val="22"/>
        </w:rPr>
        <w:t xml:space="preserve">This includes </w:t>
      </w:r>
      <w:r w:rsidRPr="005F4B98">
        <w:rPr>
          <w:szCs w:val="22"/>
        </w:rPr>
        <w:t>children</w:t>
      </w:r>
      <w:r>
        <w:rPr>
          <w:szCs w:val="22"/>
        </w:rPr>
        <w:t xml:space="preserve"> with:</w:t>
      </w:r>
    </w:p>
    <w:tbl>
      <w:tblPr>
        <w:tblStyle w:val="TableGrid"/>
        <w:tblpPr w:leftFromText="180" w:rightFromText="180" w:vertAnchor="text" w:horzAnchor="margin" w:tblpX="-431" w:tblpY="121"/>
        <w:tblW w:w="10201" w:type="dxa"/>
        <w:tblLook w:val="04A0" w:firstRow="1" w:lastRow="0" w:firstColumn="1" w:lastColumn="0" w:noHBand="0" w:noVBand="1"/>
      </w:tblPr>
      <w:tblGrid>
        <w:gridCol w:w="4939"/>
        <w:gridCol w:w="5262"/>
      </w:tblGrid>
      <w:tr w:rsidR="00961B9E" w14:paraId="38C1DDC4" w14:textId="77777777" w:rsidTr="00931A72">
        <w:tc>
          <w:tcPr>
            <w:tcW w:w="4939" w:type="dxa"/>
          </w:tcPr>
          <w:p w14:paraId="7D661C5F" w14:textId="11056616" w:rsidR="00961B9E" w:rsidRDefault="00961B9E" w:rsidP="00931A72">
            <w:pPr>
              <w:pStyle w:val="NoSpacing"/>
              <w:rPr>
                <w:szCs w:val="22"/>
              </w:rPr>
            </w:pPr>
            <w:r>
              <w:rPr>
                <w:szCs w:val="22"/>
              </w:rPr>
              <w:t>Learning disabilities</w:t>
            </w:r>
          </w:p>
        </w:tc>
        <w:tc>
          <w:tcPr>
            <w:tcW w:w="5262" w:type="dxa"/>
          </w:tcPr>
          <w:p w14:paraId="515B5B14" w14:textId="0F2136A1" w:rsidR="00961B9E" w:rsidRDefault="00931A72" w:rsidP="00931A72">
            <w:pPr>
              <w:pStyle w:val="NoSpacing"/>
              <w:rPr>
                <w:szCs w:val="22"/>
              </w:rPr>
            </w:pPr>
            <w:r>
              <w:rPr>
                <w:szCs w:val="22"/>
              </w:rPr>
              <w:t>Severe mental health problems</w:t>
            </w:r>
          </w:p>
        </w:tc>
      </w:tr>
      <w:tr w:rsidR="00961B9E" w14:paraId="3A69A026" w14:textId="77777777" w:rsidTr="00931A72">
        <w:tc>
          <w:tcPr>
            <w:tcW w:w="4939" w:type="dxa"/>
          </w:tcPr>
          <w:p w14:paraId="00657755" w14:textId="05357704" w:rsidR="00961B9E" w:rsidRDefault="00961B9E" w:rsidP="00931A72">
            <w:pPr>
              <w:pStyle w:val="NoSpacing"/>
              <w:rPr>
                <w:szCs w:val="22"/>
              </w:rPr>
            </w:pPr>
            <w:r>
              <w:rPr>
                <w:szCs w:val="22"/>
              </w:rPr>
              <w:t>Behavioural/management problems</w:t>
            </w:r>
          </w:p>
        </w:tc>
        <w:tc>
          <w:tcPr>
            <w:tcW w:w="5262" w:type="dxa"/>
          </w:tcPr>
          <w:p w14:paraId="4F9FA429" w14:textId="320FC914" w:rsidR="00961B9E" w:rsidRDefault="00931A72" w:rsidP="00931A72">
            <w:pPr>
              <w:pStyle w:val="NoSpacing"/>
              <w:rPr>
                <w:szCs w:val="22"/>
              </w:rPr>
            </w:pPr>
            <w:r>
              <w:rPr>
                <w:szCs w:val="22"/>
              </w:rPr>
              <w:t>Child protection issues or looked after children</w:t>
            </w:r>
          </w:p>
        </w:tc>
      </w:tr>
      <w:tr w:rsidR="00961B9E" w14:paraId="38FF7894" w14:textId="77777777" w:rsidTr="00931A72">
        <w:tc>
          <w:tcPr>
            <w:tcW w:w="4939" w:type="dxa"/>
          </w:tcPr>
          <w:p w14:paraId="01319F36" w14:textId="0D1EE2AF" w:rsidR="00961B9E" w:rsidRDefault="00961B9E" w:rsidP="00931A72">
            <w:pPr>
              <w:pStyle w:val="NoSpacing"/>
              <w:rPr>
                <w:szCs w:val="22"/>
              </w:rPr>
            </w:pPr>
            <w:r>
              <w:rPr>
                <w:szCs w:val="22"/>
              </w:rPr>
              <w:t>Severe physical disabilities</w:t>
            </w:r>
          </w:p>
        </w:tc>
        <w:tc>
          <w:tcPr>
            <w:tcW w:w="5262" w:type="dxa"/>
          </w:tcPr>
          <w:p w14:paraId="67B58014" w14:textId="5257B9D3" w:rsidR="00961B9E" w:rsidRDefault="00931A72" w:rsidP="00931A72">
            <w:pPr>
              <w:pStyle w:val="NoSpacing"/>
              <w:rPr>
                <w:szCs w:val="22"/>
              </w:rPr>
            </w:pPr>
            <w:r>
              <w:rPr>
                <w:szCs w:val="22"/>
              </w:rPr>
              <w:t>Medical special needs</w:t>
            </w:r>
          </w:p>
        </w:tc>
      </w:tr>
      <w:tr w:rsidR="00961B9E" w14:paraId="7750EF8F" w14:textId="77777777" w:rsidTr="00931A72">
        <w:tc>
          <w:tcPr>
            <w:tcW w:w="4939" w:type="dxa"/>
          </w:tcPr>
          <w:p w14:paraId="3BC187A1" w14:textId="0ED99C8C" w:rsidR="00961B9E" w:rsidRDefault="00961B9E" w:rsidP="00931A72">
            <w:pPr>
              <w:pStyle w:val="NoSpacing"/>
              <w:rPr>
                <w:szCs w:val="22"/>
              </w:rPr>
            </w:pPr>
            <w:r>
              <w:rPr>
                <w:szCs w:val="22"/>
              </w:rPr>
              <w:t>Autism Spectrum disorders</w:t>
            </w:r>
          </w:p>
        </w:tc>
        <w:tc>
          <w:tcPr>
            <w:tcW w:w="5262" w:type="dxa"/>
          </w:tcPr>
          <w:p w14:paraId="0A7CF85E" w14:textId="4C784C6D" w:rsidR="00961B9E" w:rsidRDefault="00931A72" w:rsidP="00931A72">
            <w:pPr>
              <w:pStyle w:val="NoSpacing"/>
              <w:rPr>
                <w:szCs w:val="22"/>
              </w:rPr>
            </w:pPr>
            <w:r>
              <w:rPr>
                <w:szCs w:val="22"/>
              </w:rPr>
              <w:t xml:space="preserve">Special dental conditions e.g. Amelogenesis Imperfecta, </w:t>
            </w:r>
            <w:proofErr w:type="spellStart"/>
            <w:r>
              <w:rPr>
                <w:szCs w:val="22"/>
              </w:rPr>
              <w:t>Dentinogenesis</w:t>
            </w:r>
            <w:proofErr w:type="spellEnd"/>
            <w:r>
              <w:rPr>
                <w:szCs w:val="22"/>
              </w:rPr>
              <w:t xml:space="preserve"> Imperfecta, and Hypodontia</w:t>
            </w:r>
          </w:p>
        </w:tc>
      </w:tr>
      <w:tr w:rsidR="00961B9E" w14:paraId="3758E984" w14:textId="77777777" w:rsidTr="00931A72">
        <w:tc>
          <w:tcPr>
            <w:tcW w:w="4939" w:type="dxa"/>
          </w:tcPr>
          <w:p w14:paraId="770330BD" w14:textId="34B51A72" w:rsidR="00961B9E" w:rsidRDefault="00961B9E" w:rsidP="00931A72">
            <w:pPr>
              <w:pStyle w:val="NoSpacing"/>
              <w:rPr>
                <w:szCs w:val="22"/>
              </w:rPr>
            </w:pPr>
            <w:r>
              <w:rPr>
                <w:szCs w:val="22"/>
              </w:rPr>
              <w:t xml:space="preserve">Treatment required </w:t>
            </w:r>
            <w:proofErr w:type="gramStart"/>
            <w:r>
              <w:rPr>
                <w:szCs w:val="22"/>
              </w:rPr>
              <w:t>as a result of</w:t>
            </w:r>
            <w:proofErr w:type="gramEnd"/>
            <w:r>
              <w:rPr>
                <w:szCs w:val="22"/>
              </w:rPr>
              <w:t xml:space="preserve"> serious dental trauma if not manageable </w:t>
            </w:r>
            <w:r w:rsidR="00931A72">
              <w:rPr>
                <w:szCs w:val="22"/>
              </w:rPr>
              <w:t>in General Practice</w:t>
            </w:r>
          </w:p>
        </w:tc>
        <w:tc>
          <w:tcPr>
            <w:tcW w:w="5262" w:type="dxa"/>
          </w:tcPr>
          <w:p w14:paraId="5071C329" w14:textId="40F74BBF" w:rsidR="00961B9E" w:rsidRDefault="00931A72" w:rsidP="00931A72">
            <w:pPr>
              <w:pStyle w:val="NoSpacing"/>
              <w:rPr>
                <w:szCs w:val="22"/>
              </w:rPr>
            </w:pPr>
            <w:r>
              <w:rPr>
                <w:szCs w:val="22"/>
              </w:rPr>
              <w:t>Extensive decay in multiple teeth in more than one quadrant where treatment has proved unsuccessful under local anaesthesia</w:t>
            </w:r>
          </w:p>
        </w:tc>
      </w:tr>
    </w:tbl>
    <w:p w14:paraId="2A248053" w14:textId="77777777" w:rsidR="00584CA0" w:rsidRDefault="00584CA0" w:rsidP="004D27A8">
      <w:pPr>
        <w:pStyle w:val="NoSpacing"/>
        <w:rPr>
          <w:szCs w:val="22"/>
        </w:rPr>
      </w:pPr>
    </w:p>
    <w:p w14:paraId="555BBF93" w14:textId="6A21C8A2" w:rsidR="00584CA0" w:rsidRDefault="00584CA0" w:rsidP="004D27A8">
      <w:pPr>
        <w:pStyle w:val="NoSpacing"/>
        <w:rPr>
          <w:szCs w:val="22"/>
        </w:rPr>
      </w:pPr>
      <w:r>
        <w:rPr>
          <w:szCs w:val="22"/>
        </w:rPr>
        <w:t xml:space="preserve">and </w:t>
      </w:r>
      <w:r w:rsidRPr="005F4B98">
        <w:rPr>
          <w:szCs w:val="22"/>
        </w:rPr>
        <w:t>adults</w:t>
      </w:r>
      <w:r>
        <w:rPr>
          <w:szCs w:val="22"/>
        </w:rPr>
        <w:t xml:space="preserve"> with:</w:t>
      </w:r>
    </w:p>
    <w:tbl>
      <w:tblPr>
        <w:tblStyle w:val="TableGrid"/>
        <w:tblpPr w:leftFromText="180" w:rightFromText="180" w:vertAnchor="text" w:tblpX="-431" w:tblpY="109"/>
        <w:tblW w:w="10201" w:type="dxa"/>
        <w:tblLook w:val="04A0" w:firstRow="1" w:lastRow="0" w:firstColumn="1" w:lastColumn="0" w:noHBand="0" w:noVBand="1"/>
      </w:tblPr>
      <w:tblGrid>
        <w:gridCol w:w="4957"/>
        <w:gridCol w:w="5244"/>
      </w:tblGrid>
      <w:tr w:rsidR="00F74544" w14:paraId="636891EB" w14:textId="77777777" w:rsidTr="00F74544">
        <w:tc>
          <w:tcPr>
            <w:tcW w:w="4957" w:type="dxa"/>
          </w:tcPr>
          <w:p w14:paraId="48AAF358" w14:textId="77777777" w:rsidR="00F74544" w:rsidRDefault="00F74544" w:rsidP="00F74544">
            <w:pPr>
              <w:pStyle w:val="NoSpacing"/>
              <w:rPr>
                <w:szCs w:val="22"/>
              </w:rPr>
            </w:pPr>
            <w:r>
              <w:rPr>
                <w:szCs w:val="22"/>
              </w:rPr>
              <w:t>Learning disabilities/challenging behaviour</w:t>
            </w:r>
          </w:p>
        </w:tc>
        <w:tc>
          <w:tcPr>
            <w:tcW w:w="5244" w:type="dxa"/>
          </w:tcPr>
          <w:p w14:paraId="61465CF2" w14:textId="43F28A90" w:rsidR="00F74544" w:rsidRDefault="00F74544" w:rsidP="00F74544">
            <w:pPr>
              <w:pStyle w:val="NoSpacing"/>
              <w:rPr>
                <w:szCs w:val="22"/>
              </w:rPr>
            </w:pPr>
            <w:r>
              <w:rPr>
                <w:szCs w:val="22"/>
              </w:rPr>
              <w:t>Medical special needs that would not normally be treated in General Dental services e.g. severe bleeding disorders, life limiting conditions, severely Immunocompromised or Immunosuppressed</w:t>
            </w:r>
          </w:p>
        </w:tc>
      </w:tr>
      <w:tr w:rsidR="00F74544" w14:paraId="7067DA78" w14:textId="77777777" w:rsidTr="00F74544">
        <w:tc>
          <w:tcPr>
            <w:tcW w:w="4957" w:type="dxa"/>
          </w:tcPr>
          <w:p w14:paraId="3DB2D4B0" w14:textId="77777777" w:rsidR="00F74544" w:rsidRDefault="00F74544" w:rsidP="00F74544">
            <w:pPr>
              <w:pStyle w:val="NoSpacing"/>
              <w:rPr>
                <w:szCs w:val="22"/>
              </w:rPr>
            </w:pPr>
            <w:r>
              <w:rPr>
                <w:szCs w:val="22"/>
              </w:rPr>
              <w:t xml:space="preserve">Autism Spectrum disorders </w:t>
            </w:r>
          </w:p>
        </w:tc>
        <w:tc>
          <w:tcPr>
            <w:tcW w:w="5244" w:type="dxa"/>
          </w:tcPr>
          <w:p w14:paraId="1096487F" w14:textId="77777777" w:rsidR="00F74544" w:rsidRDefault="00F74544" w:rsidP="00F74544">
            <w:pPr>
              <w:pStyle w:val="NoSpacing"/>
              <w:rPr>
                <w:szCs w:val="22"/>
              </w:rPr>
            </w:pPr>
            <w:r>
              <w:rPr>
                <w:szCs w:val="22"/>
              </w:rPr>
              <w:t>Brain injuries</w:t>
            </w:r>
          </w:p>
        </w:tc>
      </w:tr>
      <w:tr w:rsidR="00F74544" w14:paraId="16101CEF" w14:textId="77777777" w:rsidTr="00F74544">
        <w:tc>
          <w:tcPr>
            <w:tcW w:w="4957" w:type="dxa"/>
          </w:tcPr>
          <w:p w14:paraId="5B351F7C" w14:textId="77777777" w:rsidR="00F74544" w:rsidRDefault="00F74544" w:rsidP="00F74544">
            <w:pPr>
              <w:pStyle w:val="NoSpacing"/>
              <w:rPr>
                <w:szCs w:val="22"/>
              </w:rPr>
            </w:pPr>
            <w:r>
              <w:rPr>
                <w:szCs w:val="22"/>
              </w:rPr>
              <w:t xml:space="preserve">Severe mental health problems </w:t>
            </w:r>
          </w:p>
        </w:tc>
        <w:tc>
          <w:tcPr>
            <w:tcW w:w="5244" w:type="dxa"/>
          </w:tcPr>
          <w:p w14:paraId="2005B57C" w14:textId="77777777" w:rsidR="00F74544" w:rsidRDefault="00F74544" w:rsidP="00F74544">
            <w:pPr>
              <w:pStyle w:val="NoSpacing"/>
              <w:rPr>
                <w:szCs w:val="22"/>
              </w:rPr>
            </w:pPr>
            <w:r>
              <w:rPr>
                <w:szCs w:val="22"/>
              </w:rPr>
              <w:t>Those who have undergone head and neck Radiotherapy</w:t>
            </w:r>
          </w:p>
        </w:tc>
      </w:tr>
      <w:tr w:rsidR="00F74544" w14:paraId="43953FBC" w14:textId="77777777" w:rsidTr="00F74544">
        <w:tc>
          <w:tcPr>
            <w:tcW w:w="4957" w:type="dxa"/>
          </w:tcPr>
          <w:p w14:paraId="0332A9DC" w14:textId="77777777" w:rsidR="00F74544" w:rsidRDefault="00F74544" w:rsidP="00F74544">
            <w:pPr>
              <w:pStyle w:val="NoSpacing"/>
              <w:rPr>
                <w:szCs w:val="22"/>
              </w:rPr>
            </w:pPr>
            <w:r>
              <w:rPr>
                <w:szCs w:val="22"/>
              </w:rPr>
              <w:t>Severe physical problems and those who are frail/elderly or housebound and require domiciliary care</w:t>
            </w:r>
          </w:p>
        </w:tc>
        <w:tc>
          <w:tcPr>
            <w:tcW w:w="5244" w:type="dxa"/>
          </w:tcPr>
          <w:p w14:paraId="49AB16C4" w14:textId="77777777" w:rsidR="00F74544" w:rsidRDefault="00F74544" w:rsidP="00F74544">
            <w:pPr>
              <w:pStyle w:val="NoSpacing"/>
              <w:rPr>
                <w:szCs w:val="22"/>
              </w:rPr>
            </w:pPr>
            <w:r>
              <w:rPr>
                <w:szCs w:val="22"/>
              </w:rPr>
              <w:t>Severe or debilitating dental phobia where specific treatment (fillings and extractions) has not been possible to complete under local anaesthesia, because of the phobia (not the complexity of the treatment)</w:t>
            </w:r>
          </w:p>
        </w:tc>
      </w:tr>
    </w:tbl>
    <w:p w14:paraId="3BD158EC" w14:textId="77777777" w:rsidR="00584CA0" w:rsidRDefault="00584CA0" w:rsidP="004D27A8">
      <w:pPr>
        <w:pStyle w:val="NoSpacing"/>
        <w:rPr>
          <w:szCs w:val="22"/>
        </w:rPr>
      </w:pPr>
    </w:p>
    <w:p w14:paraId="4106D3DA" w14:textId="0DC0E7F7" w:rsidR="00584CA0" w:rsidRPr="00F74544" w:rsidRDefault="00584CA0" w:rsidP="004D27A8">
      <w:pPr>
        <w:pStyle w:val="NoSpacing"/>
        <w:rPr>
          <w:b/>
          <w:bCs/>
          <w:szCs w:val="24"/>
          <w:u w:val="single"/>
        </w:rPr>
      </w:pPr>
      <w:r w:rsidRPr="00F74544">
        <w:rPr>
          <w:b/>
          <w:bCs/>
          <w:szCs w:val="24"/>
          <w:u w:val="single"/>
        </w:rPr>
        <w:t xml:space="preserve">Referrals are not accepted </w:t>
      </w:r>
      <w:r w:rsidR="00F74544" w:rsidRPr="00F74544">
        <w:rPr>
          <w:b/>
          <w:bCs/>
          <w:szCs w:val="24"/>
          <w:u w:val="single"/>
        </w:rPr>
        <w:t>for:</w:t>
      </w:r>
    </w:p>
    <w:p w14:paraId="3DFA31E1" w14:textId="77777777" w:rsidR="00584CA0" w:rsidRPr="00954E5F" w:rsidRDefault="00584CA0" w:rsidP="004D27A8">
      <w:pPr>
        <w:pStyle w:val="NoSpacing"/>
        <w:rPr>
          <w:sz w:val="20"/>
        </w:rPr>
      </w:pPr>
    </w:p>
    <w:p w14:paraId="42585CDB" w14:textId="77777777" w:rsidR="00584CA0" w:rsidRPr="00F74544" w:rsidRDefault="00584CA0" w:rsidP="00F74544">
      <w:pPr>
        <w:pStyle w:val="NoSpacing"/>
        <w:numPr>
          <w:ilvl w:val="0"/>
          <w:numId w:val="9"/>
        </w:numPr>
        <w:rPr>
          <w:szCs w:val="24"/>
        </w:rPr>
      </w:pPr>
      <w:r w:rsidRPr="00F74544">
        <w:rPr>
          <w:szCs w:val="24"/>
        </w:rPr>
        <w:t>Nervous or apprehensive adults without a special need</w:t>
      </w:r>
    </w:p>
    <w:p w14:paraId="52EF0869" w14:textId="77777777" w:rsidR="00584CA0" w:rsidRPr="00F74544" w:rsidRDefault="00584CA0" w:rsidP="00F74544">
      <w:pPr>
        <w:pStyle w:val="NoSpacing"/>
        <w:numPr>
          <w:ilvl w:val="0"/>
          <w:numId w:val="9"/>
        </w:numPr>
        <w:rPr>
          <w:szCs w:val="24"/>
        </w:rPr>
      </w:pPr>
      <w:r w:rsidRPr="00F74544">
        <w:rPr>
          <w:szCs w:val="24"/>
        </w:rPr>
        <w:t>Children requiring extractions for orthodontic purposes (except in exceptional circumstances)</w:t>
      </w:r>
    </w:p>
    <w:p w14:paraId="37228F98" w14:textId="77777777" w:rsidR="00584CA0" w:rsidRPr="00F74544" w:rsidRDefault="00584CA0" w:rsidP="00F74544">
      <w:pPr>
        <w:pStyle w:val="NoSpacing"/>
        <w:numPr>
          <w:ilvl w:val="0"/>
          <w:numId w:val="9"/>
        </w:numPr>
        <w:rPr>
          <w:szCs w:val="24"/>
        </w:rPr>
      </w:pPr>
      <w:r w:rsidRPr="00F74544">
        <w:rPr>
          <w:szCs w:val="24"/>
        </w:rPr>
        <w:t>Adults requesting a general anaesthetic who do not meet the criteria for special needs</w:t>
      </w:r>
    </w:p>
    <w:p w14:paraId="008129FB" w14:textId="7BA4423A" w:rsidR="00584CA0" w:rsidRPr="00F74544" w:rsidRDefault="00584CA0" w:rsidP="00F74544">
      <w:pPr>
        <w:pStyle w:val="NoSpacing"/>
        <w:numPr>
          <w:ilvl w:val="0"/>
          <w:numId w:val="9"/>
        </w:numPr>
        <w:rPr>
          <w:szCs w:val="24"/>
        </w:rPr>
      </w:pPr>
      <w:r w:rsidRPr="00F74544">
        <w:rPr>
          <w:szCs w:val="24"/>
        </w:rPr>
        <w:t>On the grounds of financial hardship</w:t>
      </w:r>
    </w:p>
    <w:p w14:paraId="16282E50" w14:textId="1E857B85" w:rsidR="00584CA0" w:rsidRDefault="00584CA0" w:rsidP="004D27A8">
      <w:pPr>
        <w:pStyle w:val="NoSpacing"/>
        <w:rPr>
          <w:sz w:val="20"/>
        </w:rPr>
      </w:pPr>
    </w:p>
    <w:p w14:paraId="01E06999" w14:textId="193FC29D" w:rsidR="00584CA0" w:rsidRDefault="00584CA0" w:rsidP="004D27A8">
      <w:pPr>
        <w:pStyle w:val="NoSpacing"/>
        <w:rPr>
          <w:sz w:val="20"/>
        </w:rPr>
      </w:pPr>
    </w:p>
    <w:p w14:paraId="7DAA31AE" w14:textId="77777777" w:rsidR="00584CA0" w:rsidRPr="00F74544" w:rsidRDefault="00584CA0" w:rsidP="004D27A8">
      <w:pPr>
        <w:pStyle w:val="NoSpacing"/>
        <w:rPr>
          <w:b/>
          <w:bCs/>
          <w:u w:val="single"/>
        </w:rPr>
      </w:pPr>
      <w:r w:rsidRPr="00F74544">
        <w:rPr>
          <w:b/>
          <w:bCs/>
          <w:u w:val="single"/>
        </w:rPr>
        <w:t>Please send referral to:</w:t>
      </w:r>
    </w:p>
    <w:p w14:paraId="0540E0DE" w14:textId="77777777" w:rsidR="00584CA0" w:rsidRDefault="00584CA0" w:rsidP="004D27A8">
      <w:pPr>
        <w:pStyle w:val="NoSpacing"/>
        <w:rPr>
          <w:szCs w:val="22"/>
        </w:rPr>
      </w:pPr>
    </w:p>
    <w:p w14:paraId="24FF537B" w14:textId="77777777" w:rsidR="00584CA0" w:rsidRDefault="00584CA0" w:rsidP="004D27A8">
      <w:pPr>
        <w:pStyle w:val="NoSpacing"/>
        <w:rPr>
          <w:szCs w:val="22"/>
        </w:rPr>
      </w:pPr>
      <w:r>
        <w:rPr>
          <w:szCs w:val="22"/>
        </w:rPr>
        <w:lastRenderedPageBreak/>
        <w:t>Solent NHS Trust Dental Single Point of Access, Level A Royal South Hants Hospital, Brinton’s Terrace, SOUTHAMPTON SO14 0YG</w:t>
      </w:r>
    </w:p>
    <w:p w14:paraId="72325D50" w14:textId="77777777" w:rsidR="00584CA0" w:rsidRDefault="00584CA0" w:rsidP="004D27A8">
      <w:pPr>
        <w:pStyle w:val="NoSpacing"/>
        <w:rPr>
          <w:szCs w:val="22"/>
        </w:rPr>
      </w:pPr>
    </w:p>
    <w:p w14:paraId="1132B8C8" w14:textId="77777777" w:rsidR="00584CA0" w:rsidRDefault="00584CA0" w:rsidP="004D27A8">
      <w:pPr>
        <w:pStyle w:val="NoSpacing"/>
        <w:rPr>
          <w:szCs w:val="22"/>
        </w:rPr>
      </w:pPr>
      <w:r w:rsidRPr="00635B51">
        <w:rPr>
          <w:szCs w:val="22"/>
        </w:rPr>
        <w:t>Tel:</w:t>
      </w:r>
      <w:r>
        <w:rPr>
          <w:szCs w:val="22"/>
        </w:rPr>
        <w:t xml:space="preserve">  0300 300 2014 Option 3                     </w:t>
      </w:r>
    </w:p>
    <w:p w14:paraId="61E787BA" w14:textId="77777777" w:rsidR="00584CA0" w:rsidRPr="00CF4823" w:rsidRDefault="00584CA0" w:rsidP="004D27A8">
      <w:pPr>
        <w:pStyle w:val="NoSpacing"/>
        <w:rPr>
          <w:szCs w:val="22"/>
        </w:rPr>
      </w:pPr>
      <w:r w:rsidRPr="00CF4823">
        <w:rPr>
          <w:szCs w:val="22"/>
        </w:rPr>
        <w:tab/>
      </w:r>
      <w:r w:rsidRPr="00CF4823">
        <w:rPr>
          <w:szCs w:val="22"/>
        </w:rPr>
        <w:tab/>
      </w:r>
    </w:p>
    <w:p w14:paraId="3E19C513" w14:textId="3C8FAE92" w:rsidR="00584CA0" w:rsidRPr="00F74544" w:rsidRDefault="00584CA0" w:rsidP="004D27A8">
      <w:pPr>
        <w:pStyle w:val="NoSpacing"/>
        <w:rPr>
          <w:szCs w:val="22"/>
        </w:rPr>
      </w:pPr>
      <w:r w:rsidRPr="00635B51">
        <w:rPr>
          <w:szCs w:val="22"/>
        </w:rPr>
        <w:t>E-mail</w:t>
      </w:r>
      <w:r w:rsidRPr="00CF4823">
        <w:rPr>
          <w:szCs w:val="22"/>
        </w:rPr>
        <w:t xml:space="preserve">: </w:t>
      </w:r>
      <w:hyperlink r:id="rId12" w:history="1">
        <w:r w:rsidRPr="00180077">
          <w:rPr>
            <w:rStyle w:val="Hyperlink"/>
            <w:szCs w:val="22"/>
          </w:rPr>
          <w:t>SNHS.CentralPointofReferral@nhs.net</w:t>
        </w:r>
      </w:hyperlink>
    </w:p>
    <w:sectPr w:rsidR="00584CA0" w:rsidRPr="00F7454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565F0" w14:textId="77777777" w:rsidR="00207714" w:rsidRDefault="00207714" w:rsidP="004D27A8">
      <w:r>
        <w:separator/>
      </w:r>
    </w:p>
  </w:endnote>
  <w:endnote w:type="continuationSeparator" w:id="0">
    <w:p w14:paraId="6D20AC46" w14:textId="77777777" w:rsidR="00207714" w:rsidRDefault="00207714" w:rsidP="004D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42184" w14:textId="77777777" w:rsidR="00207714" w:rsidRDefault="00207714" w:rsidP="004D27A8">
      <w:r>
        <w:separator/>
      </w:r>
    </w:p>
  </w:footnote>
  <w:footnote w:type="continuationSeparator" w:id="0">
    <w:p w14:paraId="4222D0F1" w14:textId="77777777" w:rsidR="00207714" w:rsidRDefault="00207714" w:rsidP="004D2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1C93" w14:textId="7C23445E" w:rsidR="004D27A8" w:rsidRDefault="004D27A8">
    <w:pPr>
      <w:pStyle w:val="Header"/>
    </w:pPr>
    <w:r>
      <w:rPr>
        <w:noProof/>
      </w:rPr>
      <w:drawing>
        <wp:anchor distT="0" distB="0" distL="114300" distR="114300" simplePos="0" relativeHeight="251658240" behindDoc="1" locked="0" layoutInCell="1" allowOverlap="1" wp14:anchorId="57BC05D2" wp14:editId="772829CA">
          <wp:simplePos x="0" y="0"/>
          <wp:positionH relativeFrom="page">
            <wp:align>right</wp:align>
          </wp:positionH>
          <wp:positionV relativeFrom="paragraph">
            <wp:posOffset>-449580</wp:posOffset>
          </wp:positionV>
          <wp:extent cx="1152525" cy="1152525"/>
          <wp:effectExtent l="0" t="0" r="9525" b="9525"/>
          <wp:wrapTight wrapText="bothSides">
            <wp:wrapPolygon edited="0">
              <wp:start x="0" y="0"/>
              <wp:lineTo x="0" y="21421"/>
              <wp:lineTo x="21421" y="21421"/>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160"/>
    <w:multiLevelType w:val="hybridMultilevel"/>
    <w:tmpl w:val="2A22CD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4157BD"/>
    <w:multiLevelType w:val="hybridMultilevel"/>
    <w:tmpl w:val="6C7A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D337F"/>
    <w:multiLevelType w:val="hybridMultilevel"/>
    <w:tmpl w:val="7B32B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D6633"/>
    <w:multiLevelType w:val="hybridMultilevel"/>
    <w:tmpl w:val="B112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96B7B"/>
    <w:multiLevelType w:val="hybridMultilevel"/>
    <w:tmpl w:val="BEA43AF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32D36"/>
    <w:multiLevelType w:val="hybridMultilevel"/>
    <w:tmpl w:val="851C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5B69B1"/>
    <w:multiLevelType w:val="hybridMultilevel"/>
    <w:tmpl w:val="BEA4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60471"/>
    <w:multiLevelType w:val="hybridMultilevel"/>
    <w:tmpl w:val="703C10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B97A09"/>
    <w:multiLevelType w:val="hybridMultilevel"/>
    <w:tmpl w:val="C398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A0"/>
    <w:rsid w:val="00093CB8"/>
    <w:rsid w:val="00207714"/>
    <w:rsid w:val="004D27A8"/>
    <w:rsid w:val="0053633F"/>
    <w:rsid w:val="00543CC3"/>
    <w:rsid w:val="00584CA0"/>
    <w:rsid w:val="00931A72"/>
    <w:rsid w:val="00961B9E"/>
    <w:rsid w:val="009B684E"/>
    <w:rsid w:val="00A958BC"/>
    <w:rsid w:val="00B227B3"/>
    <w:rsid w:val="00E55BE2"/>
    <w:rsid w:val="00F74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E46B"/>
  <w15:chartTrackingRefBased/>
  <w15:docId w15:val="{4031554E-38AC-4669-B0DA-27057251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A0"/>
    <w:pPr>
      <w:suppressAutoHyphens/>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4CA0"/>
    <w:pPr>
      <w:tabs>
        <w:tab w:val="center" w:pos="4320"/>
        <w:tab w:val="right" w:pos="8640"/>
      </w:tabs>
    </w:pPr>
  </w:style>
  <w:style w:type="character" w:customStyle="1" w:styleId="HeaderChar">
    <w:name w:val="Header Char"/>
    <w:basedOn w:val="DefaultParagraphFont"/>
    <w:link w:val="Header"/>
    <w:rsid w:val="00584CA0"/>
    <w:rPr>
      <w:rFonts w:ascii="Arial" w:eastAsia="Times New Roman" w:hAnsi="Arial" w:cs="Times New Roman"/>
      <w:color w:val="000000"/>
      <w:sz w:val="24"/>
      <w:szCs w:val="20"/>
    </w:rPr>
  </w:style>
  <w:style w:type="paragraph" w:styleId="BodyText">
    <w:name w:val="Body Text"/>
    <w:basedOn w:val="Normal"/>
    <w:link w:val="BodyTextChar"/>
    <w:rsid w:val="00584CA0"/>
    <w:pPr>
      <w:pBdr>
        <w:top w:val="single" w:sz="6" w:space="1" w:color="auto"/>
        <w:left w:val="single" w:sz="6" w:space="4" w:color="auto"/>
        <w:bottom w:val="single" w:sz="6" w:space="1" w:color="auto"/>
        <w:right w:val="single" w:sz="6" w:space="4" w:color="auto"/>
      </w:pBdr>
      <w:jc w:val="both"/>
    </w:pPr>
    <w:rPr>
      <w:sz w:val="16"/>
    </w:rPr>
  </w:style>
  <w:style w:type="character" w:customStyle="1" w:styleId="BodyTextChar">
    <w:name w:val="Body Text Char"/>
    <w:basedOn w:val="DefaultParagraphFont"/>
    <w:link w:val="BodyText"/>
    <w:rsid w:val="00584CA0"/>
    <w:rPr>
      <w:rFonts w:ascii="Arial" w:eastAsia="Times New Roman" w:hAnsi="Arial" w:cs="Times New Roman"/>
      <w:color w:val="000000"/>
      <w:sz w:val="16"/>
      <w:szCs w:val="20"/>
    </w:rPr>
  </w:style>
  <w:style w:type="paragraph" w:styleId="Title">
    <w:name w:val="Title"/>
    <w:basedOn w:val="Normal"/>
    <w:link w:val="TitleChar"/>
    <w:qFormat/>
    <w:rsid w:val="00584CA0"/>
    <w:pPr>
      <w:suppressAutoHyphens w:val="0"/>
      <w:jc w:val="center"/>
    </w:pPr>
    <w:rPr>
      <w:rFonts w:ascii="Times New Roman" w:hAnsi="Times New Roman"/>
      <w:b/>
      <w:bCs/>
      <w:color w:val="auto"/>
      <w:sz w:val="28"/>
      <w:szCs w:val="24"/>
      <w:u w:val="single"/>
    </w:rPr>
  </w:style>
  <w:style w:type="character" w:customStyle="1" w:styleId="TitleChar">
    <w:name w:val="Title Char"/>
    <w:basedOn w:val="DefaultParagraphFont"/>
    <w:link w:val="Title"/>
    <w:rsid w:val="00584CA0"/>
    <w:rPr>
      <w:rFonts w:ascii="Times New Roman" w:eastAsia="Times New Roman" w:hAnsi="Times New Roman" w:cs="Times New Roman"/>
      <w:b/>
      <w:bCs/>
      <w:sz w:val="28"/>
      <w:szCs w:val="24"/>
      <w:u w:val="single"/>
    </w:rPr>
  </w:style>
  <w:style w:type="character" w:styleId="Hyperlink">
    <w:name w:val="Hyperlink"/>
    <w:rsid w:val="00584CA0"/>
    <w:rPr>
      <w:color w:val="0000FF"/>
      <w:u w:val="single"/>
    </w:rPr>
  </w:style>
  <w:style w:type="paragraph" w:styleId="Footer">
    <w:name w:val="footer"/>
    <w:basedOn w:val="Normal"/>
    <w:link w:val="FooterChar"/>
    <w:uiPriority w:val="99"/>
    <w:unhideWhenUsed/>
    <w:rsid w:val="004D27A8"/>
    <w:pPr>
      <w:tabs>
        <w:tab w:val="center" w:pos="4513"/>
        <w:tab w:val="right" w:pos="9026"/>
      </w:tabs>
    </w:pPr>
  </w:style>
  <w:style w:type="character" w:customStyle="1" w:styleId="FooterChar">
    <w:name w:val="Footer Char"/>
    <w:basedOn w:val="DefaultParagraphFont"/>
    <w:link w:val="Footer"/>
    <w:uiPriority w:val="99"/>
    <w:rsid w:val="004D27A8"/>
    <w:rPr>
      <w:rFonts w:ascii="Arial" w:eastAsia="Times New Roman" w:hAnsi="Arial" w:cs="Times New Roman"/>
      <w:color w:val="000000"/>
      <w:sz w:val="24"/>
      <w:szCs w:val="20"/>
    </w:rPr>
  </w:style>
  <w:style w:type="paragraph" w:styleId="NoSpacing">
    <w:name w:val="No Spacing"/>
    <w:uiPriority w:val="1"/>
    <w:qFormat/>
    <w:rsid w:val="004D27A8"/>
    <w:pPr>
      <w:suppressAutoHyphens/>
      <w:spacing w:after="0" w:line="240" w:lineRule="auto"/>
    </w:pPr>
    <w:rPr>
      <w:rFonts w:ascii="Arial" w:eastAsia="Times New Roman" w:hAnsi="Arial" w:cs="Times New Roman"/>
      <w:color w:val="000000"/>
      <w:sz w:val="24"/>
      <w:szCs w:val="20"/>
    </w:rPr>
  </w:style>
  <w:style w:type="table" w:styleId="TableGrid">
    <w:name w:val="Table Grid"/>
    <w:basedOn w:val="TableNormal"/>
    <w:uiPriority w:val="59"/>
    <w:rsid w:val="0096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NHS.CentralPointofReferral@nhs.net" TargetMode="External"/><Relationship Id="rId12" Type="http://schemas.openxmlformats.org/officeDocument/2006/relationships/hyperlink" Target="mailto:SNHS.CentralPointofReferral@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Dugan, Lisa - Operations Director</dc:creator>
  <cp:keywords/>
  <dc:description/>
  <cp:lastModifiedBy>Dugan, Lisa - Operations Director</cp:lastModifiedBy>
  <cp:revision>4</cp:revision>
  <dcterms:created xsi:type="dcterms:W3CDTF">2022-07-26T07:55:00Z</dcterms:created>
  <dcterms:modified xsi:type="dcterms:W3CDTF">2022-07-26T07:56:00Z</dcterms:modified>
</cp:coreProperties>
</file>