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FB6DD" w14:textId="77777777" w:rsidR="00184E16" w:rsidRPr="007F0469" w:rsidRDefault="007D22F9" w:rsidP="007F0469">
      <w:pPr>
        <w:spacing w:after="0" w:line="240" w:lineRule="auto"/>
        <w:contextualSpacing/>
        <w:rPr>
          <w:rFonts w:cstheme="minorHAnsi"/>
          <w:b/>
          <w:u w:val="single"/>
        </w:rPr>
      </w:pPr>
      <w:bookmarkStart w:id="0" w:name="_GoBack"/>
      <w:bookmarkEnd w:id="0"/>
      <w:r w:rsidRPr="007F0469">
        <w:rPr>
          <w:rFonts w:cstheme="minorHAnsi"/>
          <w:b/>
          <w:u w:val="single"/>
        </w:rPr>
        <w:t xml:space="preserve">InHealth Diagnostics </w:t>
      </w:r>
    </w:p>
    <w:p w14:paraId="26771B85" w14:textId="77777777" w:rsidR="00620F21" w:rsidRPr="007F0469" w:rsidRDefault="00620F21" w:rsidP="007F0469">
      <w:pPr>
        <w:spacing w:after="0" w:line="240" w:lineRule="auto"/>
        <w:contextualSpacing/>
        <w:rPr>
          <w:rFonts w:cstheme="minorHAnsi"/>
          <w:b/>
          <w:u w:val="single"/>
        </w:rPr>
      </w:pPr>
    </w:p>
    <w:p w14:paraId="426791FC" w14:textId="77777777" w:rsidR="001C4FC1" w:rsidRPr="006675CA" w:rsidRDefault="001C4FC1" w:rsidP="007F0469">
      <w:pPr>
        <w:spacing w:after="0" w:line="240" w:lineRule="auto"/>
        <w:rPr>
          <w:rFonts w:cstheme="minorHAnsi"/>
          <w:b/>
        </w:rPr>
      </w:pPr>
      <w:r w:rsidRPr="006675CA">
        <w:rPr>
          <w:rFonts w:cstheme="minorHAnsi"/>
          <w:b/>
        </w:rPr>
        <w:t>What is happening?</w:t>
      </w:r>
    </w:p>
    <w:p w14:paraId="1A585421" w14:textId="11B77DB2" w:rsidR="0087007B" w:rsidRPr="006675CA" w:rsidRDefault="0087007B" w:rsidP="006675CA">
      <w:pPr>
        <w:spacing w:after="0" w:line="240" w:lineRule="auto"/>
        <w:rPr>
          <w:rFonts w:cstheme="minorHAnsi"/>
        </w:rPr>
      </w:pPr>
      <w:r w:rsidRPr="006675CA">
        <w:rPr>
          <w:rFonts w:cstheme="minorHAnsi"/>
        </w:rPr>
        <w:t>SCCCG commissioned InHealth to provide a GP</w:t>
      </w:r>
      <w:r>
        <w:t xml:space="preserve"> Direct Access (GPDA) Diagnostic Service; this has been </w:t>
      </w:r>
      <w:r w:rsidR="001C4FC1">
        <w:t>running since August 2014.</w:t>
      </w:r>
      <w:r>
        <w:t xml:space="preserve"> </w:t>
      </w:r>
      <w:r w:rsidR="00266487">
        <w:t>T</w:t>
      </w:r>
      <w:r w:rsidRPr="006675CA">
        <w:rPr>
          <w:rFonts w:cstheme="minorHAnsi"/>
        </w:rPr>
        <w:t xml:space="preserve">he </w:t>
      </w:r>
      <w:r w:rsidR="006675CA" w:rsidRPr="006675CA">
        <w:rPr>
          <w:rFonts w:cstheme="minorHAnsi"/>
        </w:rPr>
        <w:t xml:space="preserve">CCG </w:t>
      </w:r>
      <w:r w:rsidR="00266487">
        <w:rPr>
          <w:rFonts w:cstheme="minorHAnsi"/>
        </w:rPr>
        <w:t xml:space="preserve">has </w:t>
      </w:r>
      <w:r w:rsidR="006675CA" w:rsidRPr="006675CA">
        <w:rPr>
          <w:rFonts w:cstheme="minorHAnsi"/>
        </w:rPr>
        <w:t xml:space="preserve">conducted a service review </w:t>
      </w:r>
      <w:r w:rsidRPr="006675CA">
        <w:rPr>
          <w:rFonts w:cstheme="minorHAnsi"/>
        </w:rPr>
        <w:t>and</w:t>
      </w:r>
      <w:r w:rsidR="006675CA" w:rsidRPr="006675CA">
        <w:rPr>
          <w:rFonts w:cstheme="minorHAnsi"/>
        </w:rPr>
        <w:t>,</w:t>
      </w:r>
      <w:r w:rsidRPr="006675CA">
        <w:rPr>
          <w:rFonts w:cstheme="minorHAnsi"/>
        </w:rPr>
        <w:t xml:space="preserve"> based on the findings, </w:t>
      </w:r>
      <w:r w:rsidR="00266487">
        <w:rPr>
          <w:rFonts w:cstheme="minorHAnsi"/>
        </w:rPr>
        <w:t>has</w:t>
      </w:r>
      <w:r w:rsidRPr="006675CA">
        <w:rPr>
          <w:rFonts w:cstheme="minorHAnsi"/>
        </w:rPr>
        <w:t xml:space="preserve"> decided to allow this contract to expire. </w:t>
      </w:r>
      <w:r w:rsidR="006675CA">
        <w:t>The contract will finish in August 2021.</w:t>
      </w:r>
    </w:p>
    <w:p w14:paraId="49A038D3" w14:textId="77777777" w:rsidR="001C4FC1" w:rsidRDefault="001C4FC1" w:rsidP="007F0469">
      <w:pPr>
        <w:spacing w:after="0" w:line="240" w:lineRule="auto"/>
        <w:rPr>
          <w:rFonts w:cstheme="minorHAnsi"/>
        </w:rPr>
      </w:pPr>
    </w:p>
    <w:p w14:paraId="22B0D165" w14:textId="77777777" w:rsidR="001C4FC1" w:rsidRPr="006675CA" w:rsidRDefault="001C4FC1" w:rsidP="007F0469">
      <w:pPr>
        <w:spacing w:after="0" w:line="240" w:lineRule="auto"/>
        <w:rPr>
          <w:rFonts w:cstheme="minorHAnsi"/>
          <w:b/>
        </w:rPr>
      </w:pPr>
      <w:r w:rsidRPr="006675CA">
        <w:rPr>
          <w:rFonts w:cstheme="minorHAnsi"/>
          <w:b/>
        </w:rPr>
        <w:t>What services does InHealth provide?</w:t>
      </w:r>
    </w:p>
    <w:p w14:paraId="745DC1E4" w14:textId="77777777" w:rsidR="006675CA" w:rsidRDefault="006675CA" w:rsidP="006675CA">
      <w:pPr>
        <w:spacing w:after="0" w:line="240" w:lineRule="auto"/>
      </w:pPr>
      <w:r>
        <w:t xml:space="preserve">The service provides GPs with direct access to diagnostics including: MRI, X-Ray, non-obstetric Ultrasound, Echocardiography and DEXA </w:t>
      </w:r>
      <w:r w:rsidRPr="005F206B">
        <w:t xml:space="preserve">(Dual energy x-ray absorptiometry) </w:t>
      </w:r>
      <w:r>
        <w:t xml:space="preserve">scans. </w:t>
      </w:r>
    </w:p>
    <w:p w14:paraId="4BE43C7E" w14:textId="77777777" w:rsidR="006675CA" w:rsidRDefault="006675CA" w:rsidP="006675CA">
      <w:pPr>
        <w:spacing w:after="0" w:line="240" w:lineRule="auto"/>
      </w:pPr>
    </w:p>
    <w:p w14:paraId="0DF18093" w14:textId="410EB1F3" w:rsidR="006675CA" w:rsidRDefault="006675CA" w:rsidP="006675CA">
      <w:pPr>
        <w:spacing w:after="0" w:line="240" w:lineRule="auto"/>
      </w:pPr>
      <w:r>
        <w:t>I</w:t>
      </w:r>
      <w:r w:rsidR="00BC3A7D">
        <w:t>n 2019/2020, there were a total of 3,148</w:t>
      </w:r>
      <w:r>
        <w:t xml:space="preserve"> diagnostic procedures undertaken within the service. The key components of this service are as follows </w:t>
      </w:r>
    </w:p>
    <w:p w14:paraId="04DE2FDE" w14:textId="0D095D37" w:rsidR="006675CA" w:rsidRDefault="006675CA" w:rsidP="006675CA">
      <w:pPr>
        <w:pStyle w:val="ListParagraph"/>
        <w:numPr>
          <w:ilvl w:val="0"/>
          <w:numId w:val="2"/>
        </w:numPr>
        <w:spacing w:after="0" w:line="240" w:lineRule="auto"/>
      </w:pPr>
      <w:r>
        <w:t>Ultrasound scans</w:t>
      </w:r>
      <w:r w:rsidR="00BC3A7D">
        <w:t xml:space="preserve"> 1011 - 32</w:t>
      </w:r>
      <w:r>
        <w:t xml:space="preserve">% of activity. </w:t>
      </w:r>
    </w:p>
    <w:p w14:paraId="5ADF0E6B" w14:textId="28CB52AD" w:rsidR="006675CA" w:rsidRDefault="006675CA" w:rsidP="006675CA">
      <w:pPr>
        <w:pStyle w:val="ListParagraph"/>
        <w:numPr>
          <w:ilvl w:val="0"/>
          <w:numId w:val="2"/>
        </w:numPr>
        <w:spacing w:after="0" w:line="240" w:lineRule="auto"/>
      </w:pPr>
      <w:r>
        <w:t xml:space="preserve">MRI scans </w:t>
      </w:r>
      <w:r w:rsidR="00BC3A7D">
        <w:t>1396 - 44</w:t>
      </w:r>
      <w:r>
        <w:t xml:space="preserve">% of activity. </w:t>
      </w:r>
    </w:p>
    <w:p w14:paraId="3A39169B" w14:textId="707E5D09" w:rsidR="006675CA" w:rsidRDefault="006675CA" w:rsidP="006675CA">
      <w:pPr>
        <w:pStyle w:val="ListParagraph"/>
        <w:numPr>
          <w:ilvl w:val="0"/>
          <w:numId w:val="2"/>
        </w:numPr>
        <w:spacing w:after="0" w:line="240" w:lineRule="auto"/>
      </w:pPr>
      <w:r>
        <w:t>Echocardiography</w:t>
      </w:r>
      <w:r w:rsidR="00BC3A7D">
        <w:t xml:space="preserve"> 459 - 15</w:t>
      </w:r>
      <w:r>
        <w:t xml:space="preserve">% of </w:t>
      </w:r>
      <w:r w:rsidR="00700AF0">
        <w:t>activity.</w:t>
      </w:r>
    </w:p>
    <w:p w14:paraId="72D93CB8" w14:textId="54FB6416" w:rsidR="00BC3A7D" w:rsidRDefault="00BC3A7D" w:rsidP="006675CA">
      <w:pPr>
        <w:pStyle w:val="ListParagraph"/>
        <w:numPr>
          <w:ilvl w:val="0"/>
          <w:numId w:val="2"/>
        </w:numPr>
        <w:spacing w:after="0" w:line="240" w:lineRule="auto"/>
      </w:pPr>
      <w:r>
        <w:t xml:space="preserve">DEXA scans 282 – 9%  of activity </w:t>
      </w:r>
    </w:p>
    <w:p w14:paraId="4B3B8B70" w14:textId="77777777" w:rsidR="00BC4E09" w:rsidRDefault="00BC4E09" w:rsidP="00BC4E09">
      <w:pPr>
        <w:pStyle w:val="ListParagraph"/>
        <w:spacing w:after="0" w:line="240" w:lineRule="auto"/>
        <w:ind w:left="773"/>
      </w:pPr>
    </w:p>
    <w:p w14:paraId="3B251C30" w14:textId="26886789" w:rsidR="006675CA" w:rsidRDefault="006675CA" w:rsidP="006675CA">
      <w:r>
        <w:t xml:space="preserve">The cost of the GPDA for </w:t>
      </w:r>
      <w:r w:rsidR="00835540" w:rsidRPr="00835540">
        <w:t>19/20 was</w:t>
      </w:r>
      <w:r w:rsidRPr="00835540">
        <w:t xml:space="preserve"> </w:t>
      </w:r>
      <w:r w:rsidR="00835540" w:rsidRPr="00835540">
        <w:t>£121,147</w:t>
      </w:r>
    </w:p>
    <w:p w14:paraId="19B73C26" w14:textId="3B428330" w:rsidR="00700AF0" w:rsidRDefault="00700AF0" w:rsidP="006675CA">
      <w:r>
        <w:t>A breakdown of activity of activity is provided below, using the latest available data (as 2020/21 data has been impacted by Covid-19 and is therefore not comparable</w:t>
      </w:r>
      <w:r w:rsidR="00F8643C">
        <w:t>)</w:t>
      </w:r>
      <w:r>
        <w:t xml:space="preserve">. </w:t>
      </w:r>
      <w:r w:rsidR="00A426D9">
        <w:t>Please note, this includes diagnostics undertaken as part of secondary care pathways – not just community diagnostics.</w:t>
      </w:r>
    </w:p>
    <w:p w14:paraId="258B4810" w14:textId="77777777" w:rsidR="006675CA" w:rsidRPr="00700AF0" w:rsidRDefault="006675CA" w:rsidP="006675CA">
      <w:pPr>
        <w:spacing w:after="0" w:line="240" w:lineRule="auto"/>
        <w:contextualSpacing/>
        <w:rPr>
          <w:rFonts w:cstheme="minorHAnsi"/>
          <w:b/>
        </w:rPr>
      </w:pPr>
      <w:r w:rsidRPr="00700AF0">
        <w:rPr>
          <w:rFonts w:cstheme="minorHAnsi"/>
          <w:b/>
        </w:rPr>
        <w:t>MRI</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304"/>
        <w:gridCol w:w="1304"/>
        <w:gridCol w:w="1304"/>
        <w:gridCol w:w="1304"/>
        <w:gridCol w:w="1305"/>
      </w:tblGrid>
      <w:tr w:rsidR="006675CA" w:rsidRPr="006675CA" w14:paraId="37CEA04E" w14:textId="77777777" w:rsidTr="00700AF0">
        <w:trPr>
          <w:trHeight w:val="360"/>
        </w:trPr>
        <w:tc>
          <w:tcPr>
            <w:tcW w:w="4077" w:type="dxa"/>
            <w:shd w:val="clear" w:color="auto" w:fill="auto"/>
            <w:vAlign w:val="center"/>
            <w:hideMark/>
          </w:tcPr>
          <w:p w14:paraId="6B584183" w14:textId="77777777" w:rsidR="006675CA" w:rsidRPr="006675CA" w:rsidRDefault="006675CA" w:rsidP="00B22C0C">
            <w:pPr>
              <w:spacing w:after="0" w:line="240" w:lineRule="auto"/>
              <w:contextualSpacing/>
              <w:rPr>
                <w:rFonts w:eastAsia="Times New Roman" w:cstheme="minorHAnsi"/>
                <w:b/>
                <w:bCs/>
                <w:color w:val="000000" w:themeColor="text1"/>
                <w:sz w:val="20"/>
                <w:szCs w:val="20"/>
                <w:u w:val="single"/>
                <w:lang w:eastAsia="en-GB"/>
              </w:rPr>
            </w:pPr>
          </w:p>
        </w:tc>
        <w:tc>
          <w:tcPr>
            <w:tcW w:w="1304" w:type="dxa"/>
            <w:shd w:val="clear" w:color="auto" w:fill="auto"/>
            <w:vAlign w:val="center"/>
            <w:hideMark/>
          </w:tcPr>
          <w:p w14:paraId="33D6252B" w14:textId="77777777" w:rsidR="006675CA" w:rsidRPr="006675CA" w:rsidRDefault="006675CA" w:rsidP="00B22C0C">
            <w:pPr>
              <w:spacing w:after="0" w:line="240" w:lineRule="auto"/>
              <w:contextualSpacing/>
              <w:jc w:val="center"/>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2015/16</w:t>
            </w:r>
          </w:p>
        </w:tc>
        <w:tc>
          <w:tcPr>
            <w:tcW w:w="1304" w:type="dxa"/>
            <w:shd w:val="clear" w:color="auto" w:fill="auto"/>
            <w:vAlign w:val="center"/>
            <w:hideMark/>
          </w:tcPr>
          <w:p w14:paraId="395CAFB9" w14:textId="77777777" w:rsidR="006675CA" w:rsidRPr="006675CA" w:rsidRDefault="006675CA" w:rsidP="00B22C0C">
            <w:pPr>
              <w:spacing w:after="0" w:line="240" w:lineRule="auto"/>
              <w:contextualSpacing/>
              <w:jc w:val="center"/>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2016/17</w:t>
            </w:r>
          </w:p>
        </w:tc>
        <w:tc>
          <w:tcPr>
            <w:tcW w:w="1304" w:type="dxa"/>
            <w:shd w:val="clear" w:color="auto" w:fill="auto"/>
            <w:vAlign w:val="center"/>
            <w:hideMark/>
          </w:tcPr>
          <w:p w14:paraId="33CE2287" w14:textId="77777777" w:rsidR="006675CA" w:rsidRPr="006675CA" w:rsidRDefault="006675CA" w:rsidP="00B22C0C">
            <w:pPr>
              <w:spacing w:after="0" w:line="240" w:lineRule="auto"/>
              <w:contextualSpacing/>
              <w:jc w:val="center"/>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2017/18</w:t>
            </w:r>
          </w:p>
        </w:tc>
        <w:tc>
          <w:tcPr>
            <w:tcW w:w="1304" w:type="dxa"/>
            <w:shd w:val="clear" w:color="auto" w:fill="auto"/>
            <w:vAlign w:val="center"/>
            <w:hideMark/>
          </w:tcPr>
          <w:p w14:paraId="060F521D" w14:textId="77777777" w:rsidR="006675CA" w:rsidRPr="006675CA" w:rsidRDefault="006675CA" w:rsidP="00B22C0C">
            <w:pPr>
              <w:spacing w:after="0" w:line="240" w:lineRule="auto"/>
              <w:contextualSpacing/>
              <w:jc w:val="center"/>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2018/19</w:t>
            </w:r>
          </w:p>
        </w:tc>
        <w:tc>
          <w:tcPr>
            <w:tcW w:w="1305" w:type="dxa"/>
            <w:shd w:val="clear" w:color="auto" w:fill="auto"/>
            <w:vAlign w:val="center"/>
            <w:hideMark/>
          </w:tcPr>
          <w:p w14:paraId="14CDD770" w14:textId="77777777" w:rsidR="006675CA" w:rsidRPr="006675CA" w:rsidRDefault="006675CA" w:rsidP="00B22C0C">
            <w:pPr>
              <w:spacing w:after="0" w:line="240" w:lineRule="auto"/>
              <w:contextualSpacing/>
              <w:jc w:val="center"/>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2019/20</w:t>
            </w:r>
          </w:p>
        </w:tc>
      </w:tr>
      <w:tr w:rsidR="006675CA" w:rsidRPr="006675CA" w14:paraId="31475C5D" w14:textId="77777777" w:rsidTr="00700AF0">
        <w:trPr>
          <w:trHeight w:val="315"/>
        </w:trPr>
        <w:tc>
          <w:tcPr>
            <w:tcW w:w="4077" w:type="dxa"/>
            <w:shd w:val="clear" w:color="auto" w:fill="auto"/>
            <w:vAlign w:val="center"/>
            <w:hideMark/>
          </w:tcPr>
          <w:p w14:paraId="0CE8A828" w14:textId="77777777" w:rsidR="006675CA" w:rsidRPr="006675CA" w:rsidRDefault="006675CA" w:rsidP="00B22C0C">
            <w:pPr>
              <w:spacing w:after="0" w:line="240" w:lineRule="auto"/>
              <w:contextualSpacing/>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In Health Total Activity</w:t>
            </w:r>
          </w:p>
        </w:tc>
        <w:tc>
          <w:tcPr>
            <w:tcW w:w="1304" w:type="dxa"/>
            <w:shd w:val="clear" w:color="auto" w:fill="auto"/>
            <w:noWrap/>
            <w:vAlign w:val="center"/>
            <w:hideMark/>
          </w:tcPr>
          <w:p w14:paraId="5487B583" w14:textId="77777777" w:rsidR="006675CA" w:rsidRPr="006675CA" w:rsidRDefault="006675CA" w:rsidP="00B22C0C">
            <w:pPr>
              <w:spacing w:after="0" w:line="240" w:lineRule="auto"/>
              <w:contextualSpacing/>
              <w:jc w:val="center"/>
              <w:rPr>
                <w:rFonts w:eastAsia="Times New Roman" w:cstheme="minorHAnsi"/>
                <w:color w:val="000000"/>
                <w:sz w:val="20"/>
                <w:szCs w:val="20"/>
                <w:lang w:eastAsia="en-GB"/>
              </w:rPr>
            </w:pPr>
            <w:r w:rsidRPr="006675CA">
              <w:rPr>
                <w:rFonts w:eastAsia="Times New Roman" w:cstheme="minorHAnsi"/>
                <w:color w:val="000000"/>
                <w:sz w:val="20"/>
                <w:szCs w:val="20"/>
                <w:lang w:eastAsia="en-GB"/>
              </w:rPr>
              <w:t>2,432</w:t>
            </w:r>
          </w:p>
        </w:tc>
        <w:tc>
          <w:tcPr>
            <w:tcW w:w="1304" w:type="dxa"/>
            <w:shd w:val="clear" w:color="auto" w:fill="auto"/>
            <w:noWrap/>
            <w:vAlign w:val="center"/>
            <w:hideMark/>
          </w:tcPr>
          <w:p w14:paraId="754B3828" w14:textId="77777777" w:rsidR="006675CA" w:rsidRPr="006675CA" w:rsidRDefault="006675CA" w:rsidP="00B22C0C">
            <w:pPr>
              <w:spacing w:after="0" w:line="240" w:lineRule="auto"/>
              <w:contextualSpacing/>
              <w:jc w:val="center"/>
              <w:rPr>
                <w:rFonts w:eastAsia="Times New Roman" w:cstheme="minorHAnsi"/>
                <w:color w:val="000000"/>
                <w:sz w:val="20"/>
                <w:szCs w:val="20"/>
                <w:lang w:eastAsia="en-GB"/>
              </w:rPr>
            </w:pPr>
            <w:r w:rsidRPr="006675CA">
              <w:rPr>
                <w:rFonts w:eastAsia="Times New Roman" w:cstheme="minorHAnsi"/>
                <w:color w:val="000000"/>
                <w:sz w:val="20"/>
                <w:szCs w:val="20"/>
                <w:lang w:eastAsia="en-GB"/>
              </w:rPr>
              <w:t>3,491</w:t>
            </w:r>
          </w:p>
        </w:tc>
        <w:tc>
          <w:tcPr>
            <w:tcW w:w="1304" w:type="dxa"/>
            <w:shd w:val="clear" w:color="auto" w:fill="auto"/>
            <w:noWrap/>
            <w:vAlign w:val="center"/>
            <w:hideMark/>
          </w:tcPr>
          <w:p w14:paraId="61B64101" w14:textId="77777777" w:rsidR="006675CA" w:rsidRPr="006675CA" w:rsidRDefault="006675CA" w:rsidP="00B22C0C">
            <w:pPr>
              <w:spacing w:after="0" w:line="240" w:lineRule="auto"/>
              <w:contextualSpacing/>
              <w:jc w:val="center"/>
              <w:rPr>
                <w:rFonts w:eastAsia="Times New Roman" w:cstheme="minorHAnsi"/>
                <w:color w:val="000000"/>
                <w:sz w:val="20"/>
                <w:szCs w:val="20"/>
                <w:lang w:eastAsia="en-GB"/>
              </w:rPr>
            </w:pPr>
            <w:r w:rsidRPr="006675CA">
              <w:rPr>
                <w:rFonts w:eastAsia="Times New Roman" w:cstheme="minorHAnsi"/>
                <w:color w:val="000000"/>
                <w:sz w:val="20"/>
                <w:szCs w:val="20"/>
                <w:lang w:eastAsia="en-GB"/>
              </w:rPr>
              <w:t>2,667</w:t>
            </w:r>
          </w:p>
        </w:tc>
        <w:tc>
          <w:tcPr>
            <w:tcW w:w="1304" w:type="dxa"/>
            <w:shd w:val="clear" w:color="auto" w:fill="auto"/>
            <w:noWrap/>
            <w:vAlign w:val="center"/>
            <w:hideMark/>
          </w:tcPr>
          <w:p w14:paraId="27E8A18D" w14:textId="77777777" w:rsidR="006675CA" w:rsidRPr="006675CA" w:rsidRDefault="006675CA" w:rsidP="00B22C0C">
            <w:pPr>
              <w:spacing w:after="0" w:line="240" w:lineRule="auto"/>
              <w:contextualSpacing/>
              <w:jc w:val="center"/>
              <w:rPr>
                <w:rFonts w:eastAsia="Times New Roman" w:cstheme="minorHAnsi"/>
                <w:color w:val="000000"/>
                <w:sz w:val="20"/>
                <w:szCs w:val="20"/>
                <w:lang w:eastAsia="en-GB"/>
              </w:rPr>
            </w:pPr>
            <w:r w:rsidRPr="006675CA">
              <w:rPr>
                <w:rFonts w:eastAsia="Times New Roman" w:cstheme="minorHAnsi"/>
                <w:color w:val="000000"/>
                <w:sz w:val="20"/>
                <w:szCs w:val="20"/>
                <w:lang w:eastAsia="en-GB"/>
              </w:rPr>
              <w:t>1,077</w:t>
            </w:r>
          </w:p>
        </w:tc>
        <w:tc>
          <w:tcPr>
            <w:tcW w:w="1305" w:type="dxa"/>
            <w:shd w:val="clear" w:color="auto" w:fill="auto"/>
            <w:noWrap/>
            <w:vAlign w:val="center"/>
            <w:hideMark/>
          </w:tcPr>
          <w:p w14:paraId="228A5E10" w14:textId="77777777" w:rsidR="006675CA" w:rsidRPr="006675CA" w:rsidRDefault="006675CA" w:rsidP="00B22C0C">
            <w:pPr>
              <w:spacing w:after="0" w:line="240" w:lineRule="auto"/>
              <w:contextualSpacing/>
              <w:jc w:val="center"/>
              <w:rPr>
                <w:rFonts w:eastAsia="Times New Roman" w:cstheme="minorHAnsi"/>
                <w:color w:val="000000"/>
                <w:sz w:val="20"/>
                <w:szCs w:val="20"/>
                <w:lang w:eastAsia="en-GB"/>
              </w:rPr>
            </w:pPr>
            <w:r w:rsidRPr="006675CA">
              <w:rPr>
                <w:rFonts w:eastAsia="Times New Roman" w:cstheme="minorHAnsi"/>
                <w:color w:val="000000"/>
                <w:sz w:val="20"/>
                <w:szCs w:val="20"/>
                <w:lang w:eastAsia="en-GB"/>
              </w:rPr>
              <w:t>1,396</w:t>
            </w:r>
          </w:p>
        </w:tc>
      </w:tr>
      <w:tr w:rsidR="006675CA" w:rsidRPr="006675CA" w14:paraId="24124AA4" w14:textId="77777777" w:rsidTr="00700AF0">
        <w:trPr>
          <w:trHeight w:val="315"/>
        </w:trPr>
        <w:tc>
          <w:tcPr>
            <w:tcW w:w="4077" w:type="dxa"/>
            <w:shd w:val="clear" w:color="auto" w:fill="auto"/>
            <w:vAlign w:val="center"/>
            <w:hideMark/>
          </w:tcPr>
          <w:p w14:paraId="19AF1961" w14:textId="77777777" w:rsidR="006675CA" w:rsidRPr="006675CA" w:rsidRDefault="006675CA" w:rsidP="00B22C0C">
            <w:pPr>
              <w:spacing w:after="0" w:line="240" w:lineRule="auto"/>
              <w:contextualSpacing/>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Dif</w:t>
            </w:r>
            <w:r w:rsidR="00700AF0">
              <w:rPr>
                <w:rFonts w:eastAsia="Times New Roman" w:cstheme="minorHAnsi"/>
                <w:b/>
                <w:bCs/>
                <w:color w:val="000000" w:themeColor="text1"/>
                <w:sz w:val="20"/>
                <w:szCs w:val="20"/>
                <w:lang w:eastAsia="en-GB"/>
              </w:rPr>
              <w:t>ference</w:t>
            </w:r>
            <w:r w:rsidRPr="006675CA">
              <w:rPr>
                <w:rFonts w:eastAsia="Times New Roman" w:cstheme="minorHAnsi"/>
                <w:b/>
                <w:bCs/>
                <w:color w:val="000000" w:themeColor="text1"/>
                <w:sz w:val="20"/>
                <w:szCs w:val="20"/>
                <w:lang w:eastAsia="en-GB"/>
              </w:rPr>
              <w:t xml:space="preserve"> vs previous year</w:t>
            </w:r>
          </w:p>
        </w:tc>
        <w:tc>
          <w:tcPr>
            <w:tcW w:w="1304" w:type="dxa"/>
            <w:shd w:val="clear" w:color="auto" w:fill="auto"/>
            <w:noWrap/>
            <w:vAlign w:val="center"/>
            <w:hideMark/>
          </w:tcPr>
          <w:p w14:paraId="6D6D5D8D" w14:textId="77777777" w:rsidR="006675CA" w:rsidRPr="006675CA" w:rsidRDefault="006675CA" w:rsidP="00B22C0C">
            <w:pPr>
              <w:spacing w:after="0" w:line="240" w:lineRule="auto"/>
              <w:contextualSpacing/>
              <w:jc w:val="center"/>
              <w:rPr>
                <w:rFonts w:eastAsia="Times New Roman" w:cstheme="minorHAnsi"/>
                <w:color w:val="000000"/>
                <w:sz w:val="20"/>
                <w:szCs w:val="20"/>
                <w:lang w:eastAsia="en-GB"/>
              </w:rPr>
            </w:pPr>
            <w:r w:rsidRPr="006675CA">
              <w:rPr>
                <w:rFonts w:eastAsia="Times New Roman" w:cstheme="minorHAnsi"/>
                <w:color w:val="000000"/>
                <w:sz w:val="20"/>
                <w:szCs w:val="20"/>
                <w:lang w:eastAsia="en-GB"/>
              </w:rPr>
              <w:t> </w:t>
            </w:r>
          </w:p>
        </w:tc>
        <w:tc>
          <w:tcPr>
            <w:tcW w:w="1304" w:type="dxa"/>
            <w:shd w:val="clear" w:color="auto" w:fill="auto"/>
            <w:noWrap/>
            <w:vAlign w:val="center"/>
            <w:hideMark/>
          </w:tcPr>
          <w:p w14:paraId="17AAD6B9" w14:textId="77777777" w:rsidR="006675CA" w:rsidRPr="006675CA" w:rsidRDefault="006675CA" w:rsidP="00B22C0C">
            <w:pPr>
              <w:spacing w:after="0" w:line="240" w:lineRule="auto"/>
              <w:contextualSpacing/>
              <w:jc w:val="center"/>
              <w:rPr>
                <w:rFonts w:eastAsia="Times New Roman" w:cstheme="minorHAnsi"/>
                <w:color w:val="000000"/>
                <w:sz w:val="20"/>
                <w:szCs w:val="20"/>
                <w:lang w:eastAsia="en-GB"/>
              </w:rPr>
            </w:pPr>
            <w:r w:rsidRPr="006675CA">
              <w:rPr>
                <w:rFonts w:eastAsia="Times New Roman" w:cstheme="minorHAnsi"/>
                <w:color w:val="000000"/>
                <w:sz w:val="20"/>
                <w:szCs w:val="20"/>
                <w:lang w:eastAsia="en-GB"/>
              </w:rPr>
              <w:t>+1,059</w:t>
            </w:r>
          </w:p>
        </w:tc>
        <w:tc>
          <w:tcPr>
            <w:tcW w:w="1304" w:type="dxa"/>
            <w:shd w:val="clear" w:color="auto" w:fill="auto"/>
            <w:noWrap/>
            <w:vAlign w:val="center"/>
            <w:hideMark/>
          </w:tcPr>
          <w:p w14:paraId="0FFC2B49" w14:textId="77777777" w:rsidR="006675CA" w:rsidRPr="006675CA" w:rsidRDefault="006675CA" w:rsidP="00B22C0C">
            <w:pPr>
              <w:spacing w:after="0" w:line="240" w:lineRule="auto"/>
              <w:contextualSpacing/>
              <w:jc w:val="center"/>
              <w:rPr>
                <w:rFonts w:eastAsia="Times New Roman" w:cstheme="minorHAnsi"/>
                <w:color w:val="000000"/>
                <w:sz w:val="20"/>
                <w:szCs w:val="20"/>
                <w:lang w:eastAsia="en-GB"/>
              </w:rPr>
            </w:pPr>
            <w:r w:rsidRPr="006675CA">
              <w:rPr>
                <w:rFonts w:eastAsia="Times New Roman" w:cstheme="minorHAnsi"/>
                <w:color w:val="000000"/>
                <w:sz w:val="20"/>
                <w:szCs w:val="20"/>
                <w:lang w:eastAsia="en-GB"/>
              </w:rPr>
              <w:t>-824</w:t>
            </w:r>
          </w:p>
        </w:tc>
        <w:tc>
          <w:tcPr>
            <w:tcW w:w="1304" w:type="dxa"/>
            <w:shd w:val="clear" w:color="auto" w:fill="auto"/>
            <w:noWrap/>
            <w:vAlign w:val="center"/>
            <w:hideMark/>
          </w:tcPr>
          <w:p w14:paraId="58154C36" w14:textId="77777777" w:rsidR="006675CA" w:rsidRPr="006675CA" w:rsidRDefault="006675CA" w:rsidP="00B22C0C">
            <w:pPr>
              <w:spacing w:after="0" w:line="240" w:lineRule="auto"/>
              <w:contextualSpacing/>
              <w:jc w:val="center"/>
              <w:rPr>
                <w:rFonts w:eastAsia="Times New Roman" w:cstheme="minorHAnsi"/>
                <w:color w:val="000000"/>
                <w:sz w:val="20"/>
                <w:szCs w:val="20"/>
                <w:lang w:eastAsia="en-GB"/>
              </w:rPr>
            </w:pPr>
            <w:r w:rsidRPr="006675CA">
              <w:rPr>
                <w:rFonts w:eastAsia="Times New Roman" w:cstheme="minorHAnsi"/>
                <w:color w:val="000000"/>
                <w:sz w:val="20"/>
                <w:szCs w:val="20"/>
                <w:lang w:eastAsia="en-GB"/>
              </w:rPr>
              <w:t>-1,590</w:t>
            </w:r>
          </w:p>
        </w:tc>
        <w:tc>
          <w:tcPr>
            <w:tcW w:w="1305" w:type="dxa"/>
            <w:shd w:val="clear" w:color="auto" w:fill="auto"/>
            <w:noWrap/>
            <w:vAlign w:val="center"/>
            <w:hideMark/>
          </w:tcPr>
          <w:p w14:paraId="44199267" w14:textId="77777777" w:rsidR="006675CA" w:rsidRPr="006675CA" w:rsidRDefault="006675CA" w:rsidP="00B22C0C">
            <w:pPr>
              <w:spacing w:after="0" w:line="240" w:lineRule="auto"/>
              <w:contextualSpacing/>
              <w:jc w:val="center"/>
              <w:rPr>
                <w:rFonts w:eastAsia="Times New Roman" w:cstheme="minorHAnsi"/>
                <w:color w:val="000000"/>
                <w:sz w:val="20"/>
                <w:szCs w:val="20"/>
                <w:lang w:eastAsia="en-GB"/>
              </w:rPr>
            </w:pPr>
            <w:r w:rsidRPr="006675CA">
              <w:rPr>
                <w:rFonts w:eastAsia="Times New Roman" w:cstheme="minorHAnsi"/>
                <w:color w:val="000000"/>
                <w:sz w:val="20"/>
                <w:szCs w:val="20"/>
                <w:lang w:eastAsia="en-GB"/>
              </w:rPr>
              <w:t>+319</w:t>
            </w:r>
          </w:p>
        </w:tc>
      </w:tr>
      <w:tr w:rsidR="006675CA" w:rsidRPr="006675CA" w14:paraId="7F596066" w14:textId="77777777" w:rsidTr="00E06449">
        <w:trPr>
          <w:trHeight w:val="315"/>
        </w:trPr>
        <w:tc>
          <w:tcPr>
            <w:tcW w:w="4077" w:type="dxa"/>
            <w:shd w:val="clear" w:color="auto" w:fill="auto"/>
            <w:vAlign w:val="center"/>
            <w:hideMark/>
          </w:tcPr>
          <w:p w14:paraId="6CC64B85" w14:textId="77777777" w:rsidR="006675CA" w:rsidRPr="006675CA" w:rsidRDefault="006675CA" w:rsidP="00B22C0C">
            <w:pPr>
              <w:spacing w:after="0" w:line="240" w:lineRule="auto"/>
              <w:contextualSpacing/>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 xml:space="preserve">% </w:t>
            </w:r>
            <w:r w:rsidR="00700AF0">
              <w:rPr>
                <w:rFonts w:eastAsia="Times New Roman" w:cstheme="minorHAnsi"/>
                <w:b/>
                <w:bCs/>
                <w:color w:val="000000" w:themeColor="text1"/>
                <w:sz w:val="20"/>
                <w:szCs w:val="20"/>
                <w:lang w:eastAsia="en-GB"/>
              </w:rPr>
              <w:t xml:space="preserve">change </w:t>
            </w:r>
            <w:r w:rsidRPr="006675CA">
              <w:rPr>
                <w:rFonts w:eastAsia="Times New Roman" w:cstheme="minorHAnsi"/>
                <w:b/>
                <w:bCs/>
                <w:color w:val="000000" w:themeColor="text1"/>
                <w:sz w:val="20"/>
                <w:szCs w:val="20"/>
                <w:lang w:eastAsia="en-GB"/>
              </w:rPr>
              <w:t>vs previous year</w:t>
            </w:r>
          </w:p>
        </w:tc>
        <w:tc>
          <w:tcPr>
            <w:tcW w:w="1304" w:type="dxa"/>
            <w:shd w:val="clear" w:color="000000" w:fill="F2F2F2"/>
            <w:noWrap/>
            <w:vAlign w:val="center"/>
            <w:hideMark/>
          </w:tcPr>
          <w:p w14:paraId="0E4C1445" w14:textId="77777777" w:rsidR="006675CA" w:rsidRPr="006675CA" w:rsidRDefault="006675CA" w:rsidP="00B22C0C">
            <w:pPr>
              <w:spacing w:after="0" w:line="240" w:lineRule="auto"/>
              <w:contextualSpacing/>
              <w:jc w:val="center"/>
              <w:rPr>
                <w:rFonts w:eastAsia="Times New Roman" w:cstheme="minorHAnsi"/>
                <w:color w:val="000000"/>
                <w:sz w:val="20"/>
                <w:szCs w:val="20"/>
                <w:lang w:eastAsia="en-GB"/>
              </w:rPr>
            </w:pPr>
            <w:r w:rsidRPr="006675CA">
              <w:rPr>
                <w:rFonts w:eastAsia="Times New Roman" w:cstheme="minorHAnsi"/>
                <w:color w:val="000000"/>
                <w:sz w:val="20"/>
                <w:szCs w:val="20"/>
                <w:lang w:eastAsia="en-GB"/>
              </w:rPr>
              <w:t> </w:t>
            </w:r>
          </w:p>
        </w:tc>
        <w:tc>
          <w:tcPr>
            <w:tcW w:w="1304" w:type="dxa"/>
            <w:shd w:val="clear" w:color="auto" w:fill="FFFFFF" w:themeFill="background1"/>
            <w:noWrap/>
            <w:vAlign w:val="center"/>
            <w:hideMark/>
          </w:tcPr>
          <w:p w14:paraId="17B264B9" w14:textId="77777777" w:rsidR="006675CA" w:rsidRPr="00E06449" w:rsidRDefault="006675CA" w:rsidP="00B22C0C">
            <w:pPr>
              <w:spacing w:after="0" w:line="240" w:lineRule="auto"/>
              <w:contextualSpacing/>
              <w:jc w:val="center"/>
              <w:rPr>
                <w:rFonts w:eastAsia="Times New Roman" w:cstheme="minorHAnsi"/>
                <w:color w:val="000000" w:themeColor="text1"/>
                <w:sz w:val="20"/>
                <w:szCs w:val="20"/>
                <w:lang w:eastAsia="en-GB"/>
              </w:rPr>
            </w:pPr>
            <w:r w:rsidRPr="00E06449">
              <w:rPr>
                <w:rFonts w:eastAsia="Times New Roman" w:cstheme="minorHAnsi"/>
                <w:color w:val="000000" w:themeColor="text1"/>
                <w:sz w:val="20"/>
                <w:szCs w:val="20"/>
                <w:lang w:eastAsia="en-GB"/>
              </w:rPr>
              <w:t>43.54%</w:t>
            </w:r>
          </w:p>
        </w:tc>
        <w:tc>
          <w:tcPr>
            <w:tcW w:w="1304" w:type="dxa"/>
            <w:shd w:val="clear" w:color="auto" w:fill="FFFFFF" w:themeFill="background1"/>
            <w:noWrap/>
            <w:vAlign w:val="center"/>
            <w:hideMark/>
          </w:tcPr>
          <w:p w14:paraId="31CED5E3" w14:textId="77777777" w:rsidR="006675CA" w:rsidRPr="00E06449" w:rsidRDefault="006675CA" w:rsidP="00B22C0C">
            <w:pPr>
              <w:spacing w:after="0" w:line="240" w:lineRule="auto"/>
              <w:contextualSpacing/>
              <w:jc w:val="center"/>
              <w:rPr>
                <w:rFonts w:eastAsia="Times New Roman" w:cstheme="minorHAnsi"/>
                <w:color w:val="000000" w:themeColor="text1"/>
                <w:sz w:val="20"/>
                <w:szCs w:val="20"/>
                <w:lang w:eastAsia="en-GB"/>
              </w:rPr>
            </w:pPr>
            <w:r w:rsidRPr="00E06449">
              <w:rPr>
                <w:rFonts w:eastAsia="Times New Roman" w:cstheme="minorHAnsi"/>
                <w:color w:val="000000" w:themeColor="text1"/>
                <w:sz w:val="20"/>
                <w:szCs w:val="20"/>
                <w:lang w:eastAsia="en-GB"/>
              </w:rPr>
              <w:t>-23.60%</w:t>
            </w:r>
          </w:p>
        </w:tc>
        <w:tc>
          <w:tcPr>
            <w:tcW w:w="1304" w:type="dxa"/>
            <w:shd w:val="clear" w:color="auto" w:fill="FFFFFF" w:themeFill="background1"/>
            <w:noWrap/>
            <w:vAlign w:val="center"/>
            <w:hideMark/>
          </w:tcPr>
          <w:p w14:paraId="66F046A5" w14:textId="77777777" w:rsidR="006675CA" w:rsidRPr="00E06449" w:rsidRDefault="006675CA" w:rsidP="00B22C0C">
            <w:pPr>
              <w:spacing w:after="0" w:line="240" w:lineRule="auto"/>
              <w:contextualSpacing/>
              <w:jc w:val="center"/>
              <w:rPr>
                <w:rFonts w:eastAsia="Times New Roman" w:cstheme="minorHAnsi"/>
                <w:color w:val="000000" w:themeColor="text1"/>
                <w:sz w:val="20"/>
                <w:szCs w:val="20"/>
                <w:lang w:eastAsia="en-GB"/>
              </w:rPr>
            </w:pPr>
            <w:r w:rsidRPr="00E06449">
              <w:rPr>
                <w:rFonts w:eastAsia="Times New Roman" w:cstheme="minorHAnsi"/>
                <w:color w:val="000000" w:themeColor="text1"/>
                <w:sz w:val="20"/>
                <w:szCs w:val="20"/>
                <w:lang w:eastAsia="en-GB"/>
              </w:rPr>
              <w:t>-59.62%</w:t>
            </w:r>
          </w:p>
        </w:tc>
        <w:tc>
          <w:tcPr>
            <w:tcW w:w="1305" w:type="dxa"/>
            <w:shd w:val="clear" w:color="auto" w:fill="FFFFFF" w:themeFill="background1"/>
            <w:noWrap/>
            <w:vAlign w:val="center"/>
            <w:hideMark/>
          </w:tcPr>
          <w:p w14:paraId="2AD31856" w14:textId="77777777" w:rsidR="006675CA" w:rsidRPr="00E06449" w:rsidRDefault="006675CA" w:rsidP="00B22C0C">
            <w:pPr>
              <w:spacing w:after="0" w:line="240" w:lineRule="auto"/>
              <w:contextualSpacing/>
              <w:jc w:val="center"/>
              <w:rPr>
                <w:rFonts w:eastAsia="Times New Roman" w:cstheme="minorHAnsi"/>
                <w:color w:val="000000" w:themeColor="text1"/>
                <w:sz w:val="20"/>
                <w:szCs w:val="20"/>
                <w:lang w:eastAsia="en-GB"/>
              </w:rPr>
            </w:pPr>
            <w:r w:rsidRPr="00E06449">
              <w:rPr>
                <w:rFonts w:eastAsia="Times New Roman" w:cstheme="minorHAnsi"/>
                <w:color w:val="000000" w:themeColor="text1"/>
                <w:sz w:val="20"/>
                <w:szCs w:val="20"/>
                <w:lang w:eastAsia="en-GB"/>
              </w:rPr>
              <w:t>29.62%</w:t>
            </w:r>
          </w:p>
        </w:tc>
      </w:tr>
      <w:tr w:rsidR="006675CA" w:rsidRPr="006675CA" w14:paraId="3E42D1B0" w14:textId="77777777" w:rsidTr="00700AF0">
        <w:trPr>
          <w:trHeight w:val="315"/>
        </w:trPr>
        <w:tc>
          <w:tcPr>
            <w:tcW w:w="10598" w:type="dxa"/>
            <w:gridSpan w:val="6"/>
            <w:tcBorders>
              <w:bottom w:val="single" w:sz="4" w:space="0" w:color="auto"/>
            </w:tcBorders>
            <w:shd w:val="clear" w:color="auto" w:fill="auto"/>
            <w:vAlign w:val="center"/>
          </w:tcPr>
          <w:p w14:paraId="22D41BFF" w14:textId="77777777" w:rsidR="006675CA" w:rsidRPr="006675CA" w:rsidRDefault="006675CA" w:rsidP="00B22C0C">
            <w:pPr>
              <w:spacing w:after="0" w:line="240" w:lineRule="auto"/>
              <w:contextualSpacing/>
              <w:jc w:val="center"/>
              <w:rPr>
                <w:rFonts w:eastAsia="Times New Roman" w:cstheme="minorHAnsi"/>
                <w:i/>
                <w:color w:val="000000" w:themeColor="text1"/>
                <w:sz w:val="20"/>
                <w:szCs w:val="20"/>
                <w:lang w:eastAsia="en-GB"/>
              </w:rPr>
            </w:pPr>
            <w:r w:rsidRPr="006675CA">
              <w:rPr>
                <w:rFonts w:eastAsia="Times New Roman" w:cstheme="minorHAnsi"/>
                <w:i/>
                <w:color w:val="000000" w:themeColor="text1"/>
                <w:sz w:val="20"/>
                <w:szCs w:val="20"/>
                <w:lang w:eastAsia="en-GB"/>
              </w:rPr>
              <w:t xml:space="preserve">Overall, </w:t>
            </w:r>
            <w:r>
              <w:rPr>
                <w:rFonts w:eastAsia="Times New Roman" w:cstheme="minorHAnsi"/>
                <w:i/>
                <w:color w:val="000000" w:themeColor="text1"/>
                <w:sz w:val="20"/>
                <w:szCs w:val="20"/>
                <w:lang w:eastAsia="en-GB"/>
              </w:rPr>
              <w:t>from 2015/16 to 2019/20, there has been a 57% decrease in the number of MRI scans undertaken by InHealth</w:t>
            </w:r>
          </w:p>
        </w:tc>
      </w:tr>
      <w:tr w:rsidR="00700AF0" w:rsidRPr="006675CA" w14:paraId="72BCF9C7" w14:textId="77777777" w:rsidTr="00B416AF">
        <w:trPr>
          <w:trHeight w:val="315"/>
        </w:trPr>
        <w:tc>
          <w:tcPr>
            <w:tcW w:w="105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7334CA" w14:textId="77777777" w:rsidR="00700AF0" w:rsidRPr="006675CA" w:rsidRDefault="00700AF0" w:rsidP="00B22C0C">
            <w:pPr>
              <w:spacing w:after="0" w:line="240" w:lineRule="auto"/>
              <w:contextualSpacing/>
              <w:jc w:val="center"/>
              <w:rPr>
                <w:rFonts w:eastAsia="Times New Roman" w:cstheme="minorHAnsi"/>
                <w:color w:val="000000" w:themeColor="text1"/>
                <w:sz w:val="20"/>
                <w:szCs w:val="20"/>
                <w:lang w:eastAsia="en-GB"/>
              </w:rPr>
            </w:pPr>
          </w:p>
        </w:tc>
      </w:tr>
      <w:tr w:rsidR="00E15689" w:rsidRPr="006675CA" w14:paraId="5182359B" w14:textId="77777777" w:rsidTr="00E15689">
        <w:trPr>
          <w:trHeight w:val="315"/>
        </w:trPr>
        <w:tc>
          <w:tcPr>
            <w:tcW w:w="4077" w:type="dxa"/>
            <w:tcBorders>
              <w:top w:val="single" w:sz="4" w:space="0" w:color="auto"/>
            </w:tcBorders>
            <w:shd w:val="clear" w:color="auto" w:fill="auto"/>
            <w:vAlign w:val="center"/>
          </w:tcPr>
          <w:p w14:paraId="56C743AC" w14:textId="77777777" w:rsidR="00E15689" w:rsidRPr="006675CA" w:rsidRDefault="00E15689" w:rsidP="00E15689">
            <w:pPr>
              <w:spacing w:after="0" w:line="240" w:lineRule="auto"/>
              <w:contextualSpacing/>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UHS Total Activity</w:t>
            </w:r>
          </w:p>
        </w:tc>
        <w:tc>
          <w:tcPr>
            <w:tcW w:w="1304" w:type="dxa"/>
            <w:tcBorders>
              <w:top w:val="single" w:sz="4" w:space="0" w:color="auto"/>
              <w:bottom w:val="single" w:sz="4" w:space="0" w:color="auto"/>
            </w:tcBorders>
            <w:shd w:val="clear" w:color="auto" w:fill="auto"/>
            <w:noWrap/>
            <w:vAlign w:val="center"/>
          </w:tcPr>
          <w:p w14:paraId="357C0B68"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8,872</w:t>
            </w:r>
          </w:p>
        </w:tc>
        <w:tc>
          <w:tcPr>
            <w:tcW w:w="1304" w:type="dxa"/>
            <w:tcBorders>
              <w:top w:val="single" w:sz="4" w:space="0" w:color="auto"/>
              <w:bottom w:val="single" w:sz="4" w:space="0" w:color="auto"/>
            </w:tcBorders>
            <w:shd w:val="clear" w:color="auto" w:fill="auto"/>
            <w:noWrap/>
            <w:vAlign w:val="center"/>
          </w:tcPr>
          <w:p w14:paraId="72CE5A29"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10,493</w:t>
            </w:r>
          </w:p>
        </w:tc>
        <w:tc>
          <w:tcPr>
            <w:tcW w:w="1304" w:type="dxa"/>
            <w:tcBorders>
              <w:top w:val="single" w:sz="4" w:space="0" w:color="auto"/>
              <w:bottom w:val="single" w:sz="4" w:space="0" w:color="auto"/>
            </w:tcBorders>
            <w:shd w:val="clear" w:color="auto" w:fill="auto"/>
            <w:noWrap/>
            <w:vAlign w:val="center"/>
          </w:tcPr>
          <w:p w14:paraId="7165DEBD"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13,497</w:t>
            </w:r>
          </w:p>
        </w:tc>
        <w:tc>
          <w:tcPr>
            <w:tcW w:w="1304" w:type="dxa"/>
            <w:tcBorders>
              <w:top w:val="single" w:sz="4" w:space="0" w:color="auto"/>
              <w:bottom w:val="single" w:sz="4" w:space="0" w:color="auto"/>
            </w:tcBorders>
            <w:shd w:val="clear" w:color="auto" w:fill="auto"/>
            <w:noWrap/>
            <w:vAlign w:val="center"/>
          </w:tcPr>
          <w:p w14:paraId="6C1EDEA3"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8,163</w:t>
            </w:r>
          </w:p>
        </w:tc>
        <w:tc>
          <w:tcPr>
            <w:tcW w:w="1305" w:type="dxa"/>
            <w:tcBorders>
              <w:top w:val="single" w:sz="4" w:space="0" w:color="auto"/>
              <w:bottom w:val="single" w:sz="4" w:space="0" w:color="auto"/>
            </w:tcBorders>
            <w:shd w:val="clear" w:color="auto" w:fill="auto"/>
            <w:noWrap/>
            <w:vAlign w:val="center"/>
          </w:tcPr>
          <w:p w14:paraId="774FF54B"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8,314</w:t>
            </w:r>
          </w:p>
        </w:tc>
      </w:tr>
      <w:tr w:rsidR="00E15689" w:rsidRPr="006675CA" w14:paraId="32D28F2A" w14:textId="77777777" w:rsidTr="00E15689">
        <w:trPr>
          <w:trHeight w:val="315"/>
        </w:trPr>
        <w:tc>
          <w:tcPr>
            <w:tcW w:w="4077" w:type="dxa"/>
            <w:shd w:val="clear" w:color="auto" w:fill="auto"/>
            <w:vAlign w:val="center"/>
          </w:tcPr>
          <w:p w14:paraId="0B4F62CA" w14:textId="77777777" w:rsidR="00E15689" w:rsidRPr="006675CA" w:rsidRDefault="00E15689" w:rsidP="00E15689">
            <w:pPr>
              <w:spacing w:after="0" w:line="240" w:lineRule="auto"/>
              <w:contextualSpacing/>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Solent Total Activity</w:t>
            </w:r>
          </w:p>
        </w:tc>
        <w:tc>
          <w:tcPr>
            <w:tcW w:w="1304" w:type="dxa"/>
            <w:tcBorders>
              <w:top w:val="single" w:sz="4" w:space="0" w:color="auto"/>
              <w:left w:val="single" w:sz="4" w:space="0" w:color="A6A6A6"/>
              <w:bottom w:val="single" w:sz="4" w:space="0" w:color="auto"/>
              <w:right w:val="single" w:sz="4" w:space="0" w:color="auto"/>
            </w:tcBorders>
            <w:shd w:val="clear" w:color="auto" w:fill="auto"/>
            <w:noWrap/>
            <w:vAlign w:val="center"/>
          </w:tcPr>
          <w:p w14:paraId="7F8D8CF0"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4BDCF"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29A52"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107</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719D3"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1,134</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68BEC"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1,408</w:t>
            </w:r>
          </w:p>
        </w:tc>
      </w:tr>
      <w:tr w:rsidR="00E15689" w:rsidRPr="006675CA" w14:paraId="25DB36EA" w14:textId="77777777" w:rsidTr="00E15689">
        <w:trPr>
          <w:trHeight w:val="315"/>
        </w:trPr>
        <w:tc>
          <w:tcPr>
            <w:tcW w:w="4077" w:type="dxa"/>
            <w:shd w:val="clear" w:color="auto" w:fill="auto"/>
            <w:vAlign w:val="center"/>
          </w:tcPr>
          <w:p w14:paraId="52CAFB19" w14:textId="77777777" w:rsidR="00E15689" w:rsidRPr="006675CA" w:rsidRDefault="00E15689" w:rsidP="00E15689">
            <w:pPr>
              <w:spacing w:after="0" w:line="240" w:lineRule="auto"/>
              <w:contextualSpacing/>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Care UK STC Total Activity</w:t>
            </w:r>
          </w:p>
        </w:tc>
        <w:tc>
          <w:tcPr>
            <w:tcW w:w="1304" w:type="dxa"/>
            <w:tcBorders>
              <w:top w:val="single" w:sz="4" w:space="0" w:color="auto"/>
              <w:left w:val="single" w:sz="4" w:space="0" w:color="A6A6A6"/>
              <w:bottom w:val="single" w:sz="4" w:space="0" w:color="auto"/>
              <w:right w:val="single" w:sz="4" w:space="0" w:color="auto"/>
            </w:tcBorders>
            <w:shd w:val="clear" w:color="auto" w:fill="auto"/>
            <w:noWrap/>
            <w:vAlign w:val="center"/>
          </w:tcPr>
          <w:p w14:paraId="500FDACD"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857</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9D9D2"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826</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5FD9F"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773</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F764E"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792</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A7B5B"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870</w:t>
            </w:r>
          </w:p>
        </w:tc>
      </w:tr>
      <w:tr w:rsidR="00E15689" w:rsidRPr="006675CA" w14:paraId="73ECDD7A" w14:textId="77777777" w:rsidTr="00E15689">
        <w:trPr>
          <w:trHeight w:val="315"/>
        </w:trPr>
        <w:tc>
          <w:tcPr>
            <w:tcW w:w="4077" w:type="dxa"/>
            <w:shd w:val="clear" w:color="auto" w:fill="auto"/>
            <w:vAlign w:val="center"/>
          </w:tcPr>
          <w:p w14:paraId="65D6755D" w14:textId="77777777" w:rsidR="00E15689" w:rsidRPr="006675CA" w:rsidRDefault="00E15689" w:rsidP="00E15689">
            <w:pPr>
              <w:spacing w:after="0" w:line="240" w:lineRule="auto"/>
              <w:contextualSpacing/>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Other Provider Total Activity</w:t>
            </w:r>
          </w:p>
        </w:tc>
        <w:tc>
          <w:tcPr>
            <w:tcW w:w="1304" w:type="dxa"/>
            <w:tcBorders>
              <w:top w:val="single" w:sz="4" w:space="0" w:color="auto"/>
              <w:left w:val="single" w:sz="4" w:space="0" w:color="A6A6A6"/>
              <w:bottom w:val="single" w:sz="4" w:space="0" w:color="auto"/>
              <w:right w:val="single" w:sz="4" w:space="0" w:color="auto"/>
            </w:tcBorders>
            <w:shd w:val="clear" w:color="auto" w:fill="auto"/>
            <w:noWrap/>
            <w:vAlign w:val="center"/>
          </w:tcPr>
          <w:p w14:paraId="6F616020"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708</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1A8AF"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738</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0FB33"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772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17ACA"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705</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0781E"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719</w:t>
            </w:r>
          </w:p>
        </w:tc>
      </w:tr>
    </w:tbl>
    <w:p w14:paraId="60F99591" w14:textId="77777777" w:rsidR="006675CA" w:rsidRPr="006675CA" w:rsidRDefault="006675CA" w:rsidP="006675CA">
      <w:pPr>
        <w:spacing w:after="0" w:line="240" w:lineRule="auto"/>
        <w:contextualSpacing/>
        <w:rPr>
          <w:rFonts w:cstheme="minorHAnsi"/>
          <w:b/>
          <w:color w:val="000000" w:themeColor="text1"/>
          <w:u w:val="single"/>
        </w:rPr>
      </w:pPr>
    </w:p>
    <w:p w14:paraId="61EBCC71" w14:textId="77777777" w:rsidR="006675CA" w:rsidRDefault="006675CA" w:rsidP="006675CA">
      <w:pPr>
        <w:spacing w:after="0" w:line="240" w:lineRule="auto"/>
        <w:contextualSpacing/>
        <w:rPr>
          <w:rFonts w:cstheme="minorHAnsi"/>
          <w:b/>
        </w:rPr>
      </w:pPr>
      <w:r w:rsidRPr="00700AF0">
        <w:rPr>
          <w:rFonts w:cstheme="minorHAnsi"/>
          <w:b/>
        </w:rPr>
        <w:t xml:space="preserve">Ultrasound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304"/>
        <w:gridCol w:w="1304"/>
        <w:gridCol w:w="1304"/>
        <w:gridCol w:w="1304"/>
        <w:gridCol w:w="1305"/>
      </w:tblGrid>
      <w:tr w:rsidR="00EB7DE7" w:rsidRPr="006675CA" w14:paraId="3E067FB4" w14:textId="77777777" w:rsidTr="008967CF">
        <w:trPr>
          <w:trHeight w:val="360"/>
        </w:trPr>
        <w:tc>
          <w:tcPr>
            <w:tcW w:w="4077" w:type="dxa"/>
            <w:shd w:val="clear" w:color="auto" w:fill="auto"/>
            <w:vAlign w:val="center"/>
            <w:hideMark/>
          </w:tcPr>
          <w:p w14:paraId="2E0EF30D" w14:textId="77777777" w:rsidR="00EB7DE7" w:rsidRPr="006675CA" w:rsidRDefault="00EB7DE7" w:rsidP="008967CF">
            <w:pPr>
              <w:spacing w:after="0" w:line="240" w:lineRule="auto"/>
              <w:contextualSpacing/>
              <w:rPr>
                <w:rFonts w:eastAsia="Times New Roman" w:cstheme="minorHAnsi"/>
                <w:b/>
                <w:bCs/>
                <w:color w:val="000000" w:themeColor="text1"/>
                <w:sz w:val="20"/>
                <w:szCs w:val="20"/>
                <w:u w:val="single"/>
                <w:lang w:eastAsia="en-GB"/>
              </w:rPr>
            </w:pPr>
          </w:p>
        </w:tc>
        <w:tc>
          <w:tcPr>
            <w:tcW w:w="1304" w:type="dxa"/>
            <w:shd w:val="clear" w:color="auto" w:fill="auto"/>
            <w:vAlign w:val="center"/>
            <w:hideMark/>
          </w:tcPr>
          <w:p w14:paraId="0E8F1810" w14:textId="77777777" w:rsidR="00EB7DE7" w:rsidRPr="006675CA" w:rsidRDefault="00EB7DE7" w:rsidP="008967CF">
            <w:pPr>
              <w:spacing w:after="0" w:line="240" w:lineRule="auto"/>
              <w:contextualSpacing/>
              <w:jc w:val="center"/>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2015/16</w:t>
            </w:r>
          </w:p>
        </w:tc>
        <w:tc>
          <w:tcPr>
            <w:tcW w:w="1304" w:type="dxa"/>
            <w:shd w:val="clear" w:color="auto" w:fill="auto"/>
            <w:vAlign w:val="center"/>
            <w:hideMark/>
          </w:tcPr>
          <w:p w14:paraId="229AC53A" w14:textId="77777777" w:rsidR="00EB7DE7" w:rsidRPr="006675CA" w:rsidRDefault="00EB7DE7" w:rsidP="008967CF">
            <w:pPr>
              <w:spacing w:after="0" w:line="240" w:lineRule="auto"/>
              <w:contextualSpacing/>
              <w:jc w:val="center"/>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2016/17</w:t>
            </w:r>
          </w:p>
        </w:tc>
        <w:tc>
          <w:tcPr>
            <w:tcW w:w="1304" w:type="dxa"/>
            <w:shd w:val="clear" w:color="auto" w:fill="auto"/>
            <w:vAlign w:val="center"/>
            <w:hideMark/>
          </w:tcPr>
          <w:p w14:paraId="268D0A61" w14:textId="77777777" w:rsidR="00EB7DE7" w:rsidRPr="006675CA" w:rsidRDefault="00EB7DE7" w:rsidP="008967CF">
            <w:pPr>
              <w:spacing w:after="0" w:line="240" w:lineRule="auto"/>
              <w:contextualSpacing/>
              <w:jc w:val="center"/>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2017/18</w:t>
            </w:r>
          </w:p>
        </w:tc>
        <w:tc>
          <w:tcPr>
            <w:tcW w:w="1304" w:type="dxa"/>
            <w:shd w:val="clear" w:color="auto" w:fill="auto"/>
            <w:vAlign w:val="center"/>
            <w:hideMark/>
          </w:tcPr>
          <w:p w14:paraId="0BD3E995" w14:textId="77777777" w:rsidR="00EB7DE7" w:rsidRPr="006675CA" w:rsidRDefault="00EB7DE7" w:rsidP="008967CF">
            <w:pPr>
              <w:spacing w:after="0" w:line="240" w:lineRule="auto"/>
              <w:contextualSpacing/>
              <w:jc w:val="center"/>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2018/19</w:t>
            </w:r>
          </w:p>
        </w:tc>
        <w:tc>
          <w:tcPr>
            <w:tcW w:w="1305" w:type="dxa"/>
            <w:shd w:val="clear" w:color="auto" w:fill="auto"/>
            <w:vAlign w:val="center"/>
            <w:hideMark/>
          </w:tcPr>
          <w:p w14:paraId="5BB4B166" w14:textId="77777777" w:rsidR="00EB7DE7" w:rsidRPr="006675CA" w:rsidRDefault="00EB7DE7" w:rsidP="008967CF">
            <w:pPr>
              <w:spacing w:after="0" w:line="240" w:lineRule="auto"/>
              <w:contextualSpacing/>
              <w:jc w:val="center"/>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2019/20</w:t>
            </w:r>
          </w:p>
        </w:tc>
      </w:tr>
      <w:tr w:rsidR="00EB7DE7" w:rsidRPr="006675CA" w14:paraId="6A6A8CF7" w14:textId="77777777" w:rsidTr="008967CF">
        <w:trPr>
          <w:trHeight w:val="315"/>
        </w:trPr>
        <w:tc>
          <w:tcPr>
            <w:tcW w:w="4077" w:type="dxa"/>
            <w:shd w:val="clear" w:color="auto" w:fill="auto"/>
            <w:vAlign w:val="center"/>
            <w:hideMark/>
          </w:tcPr>
          <w:p w14:paraId="1A5DFA94" w14:textId="77777777" w:rsidR="00EB7DE7" w:rsidRPr="006675CA" w:rsidRDefault="00EB7DE7" w:rsidP="008967CF">
            <w:pPr>
              <w:spacing w:after="0" w:line="240" w:lineRule="auto"/>
              <w:contextualSpacing/>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In Health Total Activity</w:t>
            </w:r>
          </w:p>
        </w:tc>
        <w:tc>
          <w:tcPr>
            <w:tcW w:w="1304" w:type="dxa"/>
            <w:shd w:val="clear" w:color="auto" w:fill="auto"/>
            <w:noWrap/>
            <w:vAlign w:val="center"/>
            <w:hideMark/>
          </w:tcPr>
          <w:p w14:paraId="2262BF9B"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2,335</w:t>
            </w:r>
          </w:p>
        </w:tc>
        <w:tc>
          <w:tcPr>
            <w:tcW w:w="1304" w:type="dxa"/>
            <w:shd w:val="clear" w:color="auto" w:fill="auto"/>
            <w:noWrap/>
            <w:vAlign w:val="center"/>
            <w:hideMark/>
          </w:tcPr>
          <w:p w14:paraId="415D6DDB"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2,738</w:t>
            </w:r>
          </w:p>
        </w:tc>
        <w:tc>
          <w:tcPr>
            <w:tcW w:w="1304" w:type="dxa"/>
            <w:shd w:val="clear" w:color="auto" w:fill="auto"/>
            <w:noWrap/>
            <w:vAlign w:val="center"/>
            <w:hideMark/>
          </w:tcPr>
          <w:p w14:paraId="384C4E84"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2,637</w:t>
            </w:r>
          </w:p>
        </w:tc>
        <w:tc>
          <w:tcPr>
            <w:tcW w:w="1304" w:type="dxa"/>
            <w:shd w:val="clear" w:color="auto" w:fill="auto"/>
            <w:noWrap/>
            <w:vAlign w:val="center"/>
            <w:hideMark/>
          </w:tcPr>
          <w:p w14:paraId="626CDD44"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2,245</w:t>
            </w:r>
          </w:p>
        </w:tc>
        <w:tc>
          <w:tcPr>
            <w:tcW w:w="1305" w:type="dxa"/>
            <w:shd w:val="clear" w:color="auto" w:fill="auto"/>
            <w:noWrap/>
            <w:vAlign w:val="center"/>
            <w:hideMark/>
          </w:tcPr>
          <w:p w14:paraId="05716634"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1,011</w:t>
            </w:r>
          </w:p>
        </w:tc>
      </w:tr>
      <w:tr w:rsidR="00EB7DE7" w:rsidRPr="006675CA" w14:paraId="0B7C1A81" w14:textId="77777777" w:rsidTr="008967CF">
        <w:trPr>
          <w:trHeight w:val="315"/>
        </w:trPr>
        <w:tc>
          <w:tcPr>
            <w:tcW w:w="4077" w:type="dxa"/>
            <w:shd w:val="clear" w:color="auto" w:fill="auto"/>
            <w:vAlign w:val="center"/>
            <w:hideMark/>
          </w:tcPr>
          <w:p w14:paraId="14AEC2CA" w14:textId="77777777" w:rsidR="00EB7DE7" w:rsidRPr="006675CA" w:rsidRDefault="00EB7DE7" w:rsidP="008967CF">
            <w:pPr>
              <w:spacing w:after="0" w:line="240" w:lineRule="auto"/>
              <w:contextualSpacing/>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Dif</w:t>
            </w:r>
            <w:r>
              <w:rPr>
                <w:rFonts w:eastAsia="Times New Roman" w:cstheme="minorHAnsi"/>
                <w:b/>
                <w:bCs/>
                <w:color w:val="000000" w:themeColor="text1"/>
                <w:sz w:val="20"/>
                <w:szCs w:val="20"/>
                <w:lang w:eastAsia="en-GB"/>
              </w:rPr>
              <w:t>ference</w:t>
            </w:r>
            <w:r w:rsidRPr="006675CA">
              <w:rPr>
                <w:rFonts w:eastAsia="Times New Roman" w:cstheme="minorHAnsi"/>
                <w:b/>
                <w:bCs/>
                <w:color w:val="000000" w:themeColor="text1"/>
                <w:sz w:val="20"/>
                <w:szCs w:val="20"/>
                <w:lang w:eastAsia="en-GB"/>
              </w:rPr>
              <w:t xml:space="preserve"> vs previous year</w:t>
            </w:r>
          </w:p>
        </w:tc>
        <w:tc>
          <w:tcPr>
            <w:tcW w:w="1304" w:type="dxa"/>
            <w:shd w:val="clear" w:color="auto" w:fill="auto"/>
            <w:noWrap/>
            <w:vAlign w:val="center"/>
            <w:hideMark/>
          </w:tcPr>
          <w:p w14:paraId="0F7377CF"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 </w:t>
            </w:r>
          </w:p>
        </w:tc>
        <w:tc>
          <w:tcPr>
            <w:tcW w:w="1304" w:type="dxa"/>
            <w:shd w:val="clear" w:color="auto" w:fill="auto"/>
            <w:noWrap/>
            <w:vAlign w:val="center"/>
            <w:hideMark/>
          </w:tcPr>
          <w:p w14:paraId="5BC7EB0F"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403</w:t>
            </w:r>
          </w:p>
        </w:tc>
        <w:tc>
          <w:tcPr>
            <w:tcW w:w="1304" w:type="dxa"/>
            <w:shd w:val="clear" w:color="auto" w:fill="auto"/>
            <w:noWrap/>
            <w:vAlign w:val="center"/>
            <w:hideMark/>
          </w:tcPr>
          <w:p w14:paraId="1F917465"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-101</w:t>
            </w:r>
          </w:p>
        </w:tc>
        <w:tc>
          <w:tcPr>
            <w:tcW w:w="1304" w:type="dxa"/>
            <w:shd w:val="clear" w:color="auto" w:fill="auto"/>
            <w:noWrap/>
            <w:vAlign w:val="center"/>
            <w:hideMark/>
          </w:tcPr>
          <w:p w14:paraId="2A2B0748"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-392</w:t>
            </w:r>
          </w:p>
        </w:tc>
        <w:tc>
          <w:tcPr>
            <w:tcW w:w="1305" w:type="dxa"/>
            <w:shd w:val="clear" w:color="auto" w:fill="auto"/>
            <w:noWrap/>
            <w:vAlign w:val="center"/>
            <w:hideMark/>
          </w:tcPr>
          <w:p w14:paraId="4FC31EA9"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-1,234</w:t>
            </w:r>
          </w:p>
        </w:tc>
      </w:tr>
      <w:tr w:rsidR="00EB7DE7" w:rsidRPr="006675CA" w14:paraId="3FFDCADE" w14:textId="77777777" w:rsidTr="00E06449">
        <w:trPr>
          <w:trHeight w:val="315"/>
        </w:trPr>
        <w:tc>
          <w:tcPr>
            <w:tcW w:w="4077" w:type="dxa"/>
            <w:shd w:val="clear" w:color="auto" w:fill="auto"/>
            <w:vAlign w:val="center"/>
            <w:hideMark/>
          </w:tcPr>
          <w:p w14:paraId="331189ED" w14:textId="77777777" w:rsidR="00EB7DE7" w:rsidRPr="006675CA" w:rsidRDefault="00EB7DE7" w:rsidP="008967CF">
            <w:pPr>
              <w:spacing w:after="0" w:line="240" w:lineRule="auto"/>
              <w:contextualSpacing/>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 xml:space="preserve">% </w:t>
            </w:r>
            <w:r>
              <w:rPr>
                <w:rFonts w:eastAsia="Times New Roman" w:cstheme="minorHAnsi"/>
                <w:b/>
                <w:bCs/>
                <w:color w:val="000000" w:themeColor="text1"/>
                <w:sz w:val="20"/>
                <w:szCs w:val="20"/>
                <w:lang w:eastAsia="en-GB"/>
              </w:rPr>
              <w:t xml:space="preserve">change </w:t>
            </w:r>
            <w:r w:rsidRPr="006675CA">
              <w:rPr>
                <w:rFonts w:eastAsia="Times New Roman" w:cstheme="minorHAnsi"/>
                <w:b/>
                <w:bCs/>
                <w:color w:val="000000" w:themeColor="text1"/>
                <w:sz w:val="20"/>
                <w:szCs w:val="20"/>
                <w:lang w:eastAsia="en-GB"/>
              </w:rPr>
              <w:t>vs previous year</w:t>
            </w:r>
          </w:p>
        </w:tc>
        <w:tc>
          <w:tcPr>
            <w:tcW w:w="1304" w:type="dxa"/>
            <w:shd w:val="clear" w:color="000000" w:fill="F2F2F2"/>
            <w:noWrap/>
            <w:vAlign w:val="center"/>
            <w:hideMark/>
          </w:tcPr>
          <w:p w14:paraId="42E51261"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 </w:t>
            </w:r>
          </w:p>
        </w:tc>
        <w:tc>
          <w:tcPr>
            <w:tcW w:w="1304" w:type="dxa"/>
            <w:shd w:val="clear" w:color="auto" w:fill="FFFFFF" w:themeFill="background1"/>
            <w:noWrap/>
            <w:vAlign w:val="center"/>
            <w:hideMark/>
          </w:tcPr>
          <w:p w14:paraId="68FEDF70" w14:textId="77777777" w:rsidR="00EB7DE7" w:rsidRPr="00E06449" w:rsidRDefault="00EB7DE7" w:rsidP="008967CF">
            <w:pPr>
              <w:spacing w:after="0" w:line="240" w:lineRule="auto"/>
              <w:contextualSpacing/>
              <w:jc w:val="center"/>
              <w:rPr>
                <w:rFonts w:eastAsia="Times New Roman" w:cstheme="minorHAnsi"/>
                <w:color w:val="000000" w:themeColor="text1"/>
                <w:lang w:eastAsia="en-GB"/>
              </w:rPr>
            </w:pPr>
            <w:r w:rsidRPr="00E06449">
              <w:rPr>
                <w:rFonts w:eastAsia="Times New Roman" w:cstheme="minorHAnsi"/>
                <w:color w:val="000000" w:themeColor="text1"/>
                <w:lang w:eastAsia="en-GB"/>
              </w:rPr>
              <w:t>17.26%</w:t>
            </w:r>
          </w:p>
        </w:tc>
        <w:tc>
          <w:tcPr>
            <w:tcW w:w="1304" w:type="dxa"/>
            <w:shd w:val="clear" w:color="auto" w:fill="FFFFFF" w:themeFill="background1"/>
            <w:noWrap/>
            <w:vAlign w:val="center"/>
            <w:hideMark/>
          </w:tcPr>
          <w:p w14:paraId="14CEC17A" w14:textId="77777777" w:rsidR="00EB7DE7" w:rsidRPr="00E06449" w:rsidRDefault="00EB7DE7" w:rsidP="008967CF">
            <w:pPr>
              <w:spacing w:after="0" w:line="240" w:lineRule="auto"/>
              <w:contextualSpacing/>
              <w:jc w:val="center"/>
              <w:rPr>
                <w:rFonts w:eastAsia="Times New Roman" w:cstheme="minorHAnsi"/>
                <w:color w:val="000000" w:themeColor="text1"/>
                <w:lang w:eastAsia="en-GB"/>
              </w:rPr>
            </w:pPr>
            <w:r w:rsidRPr="00E06449">
              <w:rPr>
                <w:rFonts w:eastAsia="Times New Roman" w:cstheme="minorHAnsi"/>
                <w:color w:val="000000" w:themeColor="text1"/>
                <w:lang w:eastAsia="en-GB"/>
              </w:rPr>
              <w:t>-3.69%</w:t>
            </w:r>
          </w:p>
        </w:tc>
        <w:tc>
          <w:tcPr>
            <w:tcW w:w="1304" w:type="dxa"/>
            <w:shd w:val="clear" w:color="auto" w:fill="FFFFFF" w:themeFill="background1"/>
            <w:noWrap/>
            <w:vAlign w:val="center"/>
            <w:hideMark/>
          </w:tcPr>
          <w:p w14:paraId="5AE12D7A" w14:textId="77777777" w:rsidR="00EB7DE7" w:rsidRPr="00E06449" w:rsidRDefault="00EB7DE7" w:rsidP="008967CF">
            <w:pPr>
              <w:spacing w:after="0" w:line="240" w:lineRule="auto"/>
              <w:contextualSpacing/>
              <w:jc w:val="center"/>
              <w:rPr>
                <w:rFonts w:eastAsia="Times New Roman" w:cstheme="minorHAnsi"/>
                <w:color w:val="000000" w:themeColor="text1"/>
                <w:lang w:eastAsia="en-GB"/>
              </w:rPr>
            </w:pPr>
            <w:r w:rsidRPr="00E06449">
              <w:rPr>
                <w:rFonts w:eastAsia="Times New Roman" w:cstheme="minorHAnsi"/>
                <w:color w:val="000000" w:themeColor="text1"/>
                <w:lang w:eastAsia="en-GB"/>
              </w:rPr>
              <w:t>-14.87%</w:t>
            </w:r>
          </w:p>
        </w:tc>
        <w:tc>
          <w:tcPr>
            <w:tcW w:w="1305" w:type="dxa"/>
            <w:shd w:val="clear" w:color="auto" w:fill="FFFFFF" w:themeFill="background1"/>
            <w:noWrap/>
            <w:vAlign w:val="center"/>
            <w:hideMark/>
          </w:tcPr>
          <w:p w14:paraId="0B9A7817" w14:textId="77777777" w:rsidR="00EB7DE7" w:rsidRPr="00E06449" w:rsidRDefault="00EB7DE7" w:rsidP="008967CF">
            <w:pPr>
              <w:spacing w:after="0" w:line="240" w:lineRule="auto"/>
              <w:contextualSpacing/>
              <w:jc w:val="center"/>
              <w:rPr>
                <w:rFonts w:eastAsia="Times New Roman" w:cstheme="minorHAnsi"/>
                <w:color w:val="000000" w:themeColor="text1"/>
                <w:lang w:eastAsia="en-GB"/>
              </w:rPr>
            </w:pPr>
            <w:r w:rsidRPr="00E06449">
              <w:rPr>
                <w:rFonts w:eastAsia="Times New Roman" w:cstheme="minorHAnsi"/>
                <w:color w:val="000000" w:themeColor="text1"/>
                <w:lang w:eastAsia="en-GB"/>
              </w:rPr>
              <w:t>-54.97%</w:t>
            </w:r>
          </w:p>
        </w:tc>
      </w:tr>
      <w:tr w:rsidR="00EB7DE7" w:rsidRPr="006675CA" w14:paraId="27FBD317" w14:textId="77777777" w:rsidTr="008967CF">
        <w:trPr>
          <w:trHeight w:val="315"/>
        </w:trPr>
        <w:tc>
          <w:tcPr>
            <w:tcW w:w="10598" w:type="dxa"/>
            <w:gridSpan w:val="6"/>
            <w:tcBorders>
              <w:bottom w:val="single" w:sz="4" w:space="0" w:color="auto"/>
            </w:tcBorders>
            <w:shd w:val="clear" w:color="auto" w:fill="auto"/>
            <w:vAlign w:val="center"/>
          </w:tcPr>
          <w:p w14:paraId="065C8F8D" w14:textId="77777777" w:rsidR="00EB7DE7" w:rsidRPr="006675CA" w:rsidRDefault="00EB7DE7" w:rsidP="00EB7DE7">
            <w:pPr>
              <w:spacing w:after="0" w:line="240" w:lineRule="auto"/>
              <w:contextualSpacing/>
              <w:jc w:val="center"/>
              <w:rPr>
                <w:rFonts w:eastAsia="Times New Roman" w:cstheme="minorHAnsi"/>
                <w:i/>
                <w:color w:val="000000" w:themeColor="text1"/>
                <w:sz w:val="20"/>
                <w:szCs w:val="20"/>
                <w:lang w:eastAsia="en-GB"/>
              </w:rPr>
            </w:pPr>
            <w:r w:rsidRPr="006675CA">
              <w:rPr>
                <w:rFonts w:eastAsia="Times New Roman" w:cstheme="minorHAnsi"/>
                <w:i/>
                <w:color w:val="000000" w:themeColor="text1"/>
                <w:sz w:val="20"/>
                <w:szCs w:val="20"/>
                <w:lang w:eastAsia="en-GB"/>
              </w:rPr>
              <w:t xml:space="preserve">Overall, </w:t>
            </w:r>
            <w:r>
              <w:rPr>
                <w:rFonts w:eastAsia="Times New Roman" w:cstheme="minorHAnsi"/>
                <w:i/>
                <w:color w:val="000000" w:themeColor="text1"/>
                <w:sz w:val="20"/>
                <w:szCs w:val="20"/>
                <w:lang w:eastAsia="en-GB"/>
              </w:rPr>
              <w:t>from 2015/16 to 20</w:t>
            </w:r>
            <w:r w:rsidR="00E15689">
              <w:rPr>
                <w:rFonts w:eastAsia="Times New Roman" w:cstheme="minorHAnsi"/>
                <w:i/>
                <w:color w:val="000000" w:themeColor="text1"/>
                <w:sz w:val="20"/>
                <w:szCs w:val="20"/>
                <w:lang w:eastAsia="en-GB"/>
              </w:rPr>
              <w:t>19/20, there has been a 55% decrease in the number of Ultrasound scans</w:t>
            </w:r>
            <w:r>
              <w:rPr>
                <w:rFonts w:eastAsia="Times New Roman" w:cstheme="minorHAnsi"/>
                <w:i/>
                <w:color w:val="000000" w:themeColor="text1"/>
                <w:sz w:val="20"/>
                <w:szCs w:val="20"/>
                <w:lang w:eastAsia="en-GB"/>
              </w:rPr>
              <w:t xml:space="preserve"> undertaken by InHealth</w:t>
            </w:r>
          </w:p>
        </w:tc>
      </w:tr>
      <w:tr w:rsidR="00EB7DE7" w:rsidRPr="006675CA" w14:paraId="144F5ECD" w14:textId="77777777" w:rsidTr="008967CF">
        <w:trPr>
          <w:trHeight w:val="315"/>
        </w:trPr>
        <w:tc>
          <w:tcPr>
            <w:tcW w:w="105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DDDC0C" w14:textId="77777777" w:rsidR="00EB7DE7" w:rsidRPr="006675CA" w:rsidRDefault="00EB7DE7" w:rsidP="008967CF">
            <w:pPr>
              <w:spacing w:after="0" w:line="240" w:lineRule="auto"/>
              <w:contextualSpacing/>
              <w:jc w:val="center"/>
              <w:rPr>
                <w:rFonts w:eastAsia="Times New Roman" w:cstheme="minorHAnsi"/>
                <w:color w:val="000000" w:themeColor="text1"/>
                <w:sz w:val="20"/>
                <w:szCs w:val="20"/>
                <w:lang w:eastAsia="en-GB"/>
              </w:rPr>
            </w:pPr>
          </w:p>
        </w:tc>
      </w:tr>
      <w:tr w:rsidR="00E15689" w:rsidRPr="006675CA" w14:paraId="05B5C39F" w14:textId="77777777" w:rsidTr="00E15689">
        <w:trPr>
          <w:trHeight w:val="315"/>
        </w:trPr>
        <w:tc>
          <w:tcPr>
            <w:tcW w:w="4077" w:type="dxa"/>
            <w:tcBorders>
              <w:top w:val="single" w:sz="4" w:space="0" w:color="auto"/>
            </w:tcBorders>
            <w:shd w:val="clear" w:color="auto" w:fill="auto"/>
            <w:vAlign w:val="center"/>
          </w:tcPr>
          <w:p w14:paraId="43F498EB" w14:textId="77777777" w:rsidR="00E15689" w:rsidRPr="006675CA" w:rsidRDefault="00E15689" w:rsidP="00E15689">
            <w:pPr>
              <w:spacing w:after="0" w:line="240" w:lineRule="auto"/>
              <w:contextualSpacing/>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UHS Total Activity</w:t>
            </w:r>
          </w:p>
        </w:tc>
        <w:tc>
          <w:tcPr>
            <w:tcW w:w="1304" w:type="dxa"/>
            <w:tcBorders>
              <w:top w:val="single" w:sz="4" w:space="0" w:color="auto"/>
              <w:left w:val="single" w:sz="4" w:space="0" w:color="A6A6A6"/>
              <w:bottom w:val="single" w:sz="4" w:space="0" w:color="auto"/>
              <w:right w:val="single" w:sz="4" w:space="0" w:color="auto"/>
            </w:tcBorders>
            <w:shd w:val="clear" w:color="auto" w:fill="auto"/>
            <w:noWrap/>
            <w:vAlign w:val="center"/>
          </w:tcPr>
          <w:p w14:paraId="199B53ED"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35,346</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F7BCB"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35,443</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D0CA3"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34,487</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AA6A6"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27,920</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81B8E"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29,019</w:t>
            </w:r>
          </w:p>
        </w:tc>
      </w:tr>
      <w:tr w:rsidR="00E15689" w:rsidRPr="006675CA" w14:paraId="4BF09955" w14:textId="77777777" w:rsidTr="00E15689">
        <w:trPr>
          <w:trHeight w:val="315"/>
        </w:trPr>
        <w:tc>
          <w:tcPr>
            <w:tcW w:w="4077" w:type="dxa"/>
            <w:shd w:val="clear" w:color="auto" w:fill="auto"/>
            <w:vAlign w:val="center"/>
          </w:tcPr>
          <w:p w14:paraId="291E649C" w14:textId="77777777" w:rsidR="00E15689" w:rsidRPr="006675CA" w:rsidRDefault="00E15689" w:rsidP="00E15689">
            <w:pPr>
              <w:spacing w:after="0" w:line="240" w:lineRule="auto"/>
              <w:contextualSpacing/>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Solent Total Activity</w:t>
            </w:r>
          </w:p>
        </w:tc>
        <w:tc>
          <w:tcPr>
            <w:tcW w:w="1304" w:type="dxa"/>
            <w:tcBorders>
              <w:top w:val="single" w:sz="4" w:space="0" w:color="auto"/>
              <w:left w:val="single" w:sz="4" w:space="0" w:color="A6A6A6"/>
              <w:bottom w:val="single" w:sz="4" w:space="0" w:color="auto"/>
              <w:right w:val="single" w:sz="4" w:space="0" w:color="auto"/>
            </w:tcBorders>
            <w:shd w:val="clear" w:color="auto" w:fill="auto"/>
            <w:noWrap/>
            <w:vAlign w:val="center"/>
          </w:tcPr>
          <w:p w14:paraId="0E0670D8"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3BC7A"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25C06"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15</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14BDD"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172</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83686"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187</w:t>
            </w:r>
          </w:p>
        </w:tc>
      </w:tr>
      <w:tr w:rsidR="00E15689" w:rsidRPr="006675CA" w14:paraId="04BA7D5B" w14:textId="77777777" w:rsidTr="00E15689">
        <w:trPr>
          <w:trHeight w:val="315"/>
        </w:trPr>
        <w:tc>
          <w:tcPr>
            <w:tcW w:w="4077" w:type="dxa"/>
            <w:shd w:val="clear" w:color="auto" w:fill="auto"/>
            <w:vAlign w:val="center"/>
          </w:tcPr>
          <w:p w14:paraId="683725DF" w14:textId="77777777" w:rsidR="00E15689" w:rsidRPr="006675CA" w:rsidRDefault="00E15689" w:rsidP="00E15689">
            <w:pPr>
              <w:spacing w:after="0" w:line="240" w:lineRule="auto"/>
              <w:contextualSpacing/>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Care UK STC Total Activity</w:t>
            </w:r>
          </w:p>
        </w:tc>
        <w:tc>
          <w:tcPr>
            <w:tcW w:w="1304" w:type="dxa"/>
            <w:tcBorders>
              <w:top w:val="single" w:sz="4" w:space="0" w:color="auto"/>
              <w:left w:val="single" w:sz="4" w:space="0" w:color="A6A6A6"/>
              <w:bottom w:val="single" w:sz="4" w:space="0" w:color="auto"/>
              <w:right w:val="single" w:sz="4" w:space="0" w:color="auto"/>
            </w:tcBorders>
            <w:shd w:val="clear" w:color="auto" w:fill="auto"/>
            <w:noWrap/>
            <w:vAlign w:val="center"/>
          </w:tcPr>
          <w:p w14:paraId="26B4CD9B"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715</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074E0"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685</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06661"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820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46922"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1,051</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23726"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1,159</w:t>
            </w:r>
          </w:p>
        </w:tc>
      </w:tr>
      <w:tr w:rsidR="00E15689" w:rsidRPr="006675CA" w14:paraId="2535B4AE" w14:textId="77777777" w:rsidTr="00E15689">
        <w:trPr>
          <w:trHeight w:val="315"/>
        </w:trPr>
        <w:tc>
          <w:tcPr>
            <w:tcW w:w="4077" w:type="dxa"/>
            <w:shd w:val="clear" w:color="auto" w:fill="auto"/>
            <w:vAlign w:val="center"/>
          </w:tcPr>
          <w:p w14:paraId="0167C9A7" w14:textId="77777777" w:rsidR="00E15689" w:rsidRPr="006675CA" w:rsidRDefault="00E15689" w:rsidP="00E15689">
            <w:pPr>
              <w:spacing w:after="0" w:line="240" w:lineRule="auto"/>
              <w:contextualSpacing/>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Other Provider Total Activity</w:t>
            </w:r>
          </w:p>
        </w:tc>
        <w:tc>
          <w:tcPr>
            <w:tcW w:w="1304" w:type="dxa"/>
            <w:tcBorders>
              <w:top w:val="single" w:sz="4" w:space="0" w:color="auto"/>
              <w:left w:val="single" w:sz="4" w:space="0" w:color="A6A6A6"/>
              <w:bottom w:val="single" w:sz="4" w:space="0" w:color="auto"/>
              <w:right w:val="single" w:sz="4" w:space="0" w:color="auto"/>
            </w:tcBorders>
            <w:shd w:val="clear" w:color="auto" w:fill="auto"/>
            <w:noWrap/>
            <w:vAlign w:val="center"/>
          </w:tcPr>
          <w:p w14:paraId="05AFCAFC"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915</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AEBAE"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1,029</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05825"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1,074</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26D8B"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1,024</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128C4" w14:textId="77777777" w:rsidR="00E15689" w:rsidRPr="00E15689" w:rsidRDefault="00E15689" w:rsidP="00E15689">
            <w:pPr>
              <w:spacing w:after="0" w:line="240" w:lineRule="auto"/>
              <w:contextualSpacing/>
              <w:jc w:val="center"/>
              <w:rPr>
                <w:rFonts w:eastAsia="Times New Roman" w:cstheme="minorHAnsi"/>
                <w:color w:val="000000"/>
                <w:sz w:val="20"/>
                <w:szCs w:val="20"/>
                <w:lang w:eastAsia="en-GB"/>
              </w:rPr>
            </w:pPr>
            <w:r w:rsidRPr="00E15689">
              <w:rPr>
                <w:rFonts w:eastAsia="Times New Roman" w:cstheme="minorHAnsi"/>
                <w:color w:val="000000"/>
                <w:sz w:val="20"/>
                <w:szCs w:val="20"/>
                <w:lang w:eastAsia="en-GB"/>
              </w:rPr>
              <w:t>956</w:t>
            </w:r>
          </w:p>
        </w:tc>
      </w:tr>
    </w:tbl>
    <w:p w14:paraId="18614A02" w14:textId="77777777" w:rsidR="00EB7DE7" w:rsidRDefault="00EB7DE7" w:rsidP="006675CA">
      <w:pPr>
        <w:spacing w:after="0" w:line="240" w:lineRule="auto"/>
        <w:contextualSpacing/>
        <w:rPr>
          <w:rFonts w:cstheme="minorHAnsi"/>
          <w:b/>
        </w:rPr>
      </w:pPr>
    </w:p>
    <w:p w14:paraId="6760FD8D" w14:textId="77777777" w:rsidR="006675CA" w:rsidRDefault="006675CA" w:rsidP="006675CA">
      <w:pPr>
        <w:spacing w:after="0" w:line="240" w:lineRule="auto"/>
        <w:contextualSpacing/>
        <w:rPr>
          <w:rFonts w:cstheme="minorHAnsi"/>
          <w:b/>
          <w:u w:val="single"/>
        </w:rPr>
      </w:pPr>
    </w:p>
    <w:p w14:paraId="0EEBE75D" w14:textId="77777777" w:rsidR="00EB7DE7" w:rsidRDefault="00EB7DE7" w:rsidP="006675CA">
      <w:pPr>
        <w:spacing w:after="0" w:line="240" w:lineRule="auto"/>
        <w:contextualSpacing/>
        <w:rPr>
          <w:rFonts w:cstheme="minorHAnsi"/>
          <w:b/>
          <w:u w:val="single"/>
        </w:rPr>
      </w:pPr>
    </w:p>
    <w:p w14:paraId="0B1785CC" w14:textId="77777777" w:rsidR="00EB7DE7" w:rsidRDefault="00EB7DE7" w:rsidP="006675CA">
      <w:pPr>
        <w:spacing w:after="0" w:line="240" w:lineRule="auto"/>
        <w:contextualSpacing/>
        <w:rPr>
          <w:rFonts w:cstheme="minorHAnsi"/>
          <w:b/>
          <w:u w:val="single"/>
        </w:rPr>
      </w:pPr>
    </w:p>
    <w:p w14:paraId="2074A0A1" w14:textId="77777777" w:rsidR="00EB7DE7" w:rsidRDefault="00EB7DE7" w:rsidP="006675CA">
      <w:pPr>
        <w:spacing w:after="0" w:line="240" w:lineRule="auto"/>
        <w:contextualSpacing/>
        <w:rPr>
          <w:rFonts w:cstheme="minorHAnsi"/>
          <w:b/>
          <w:u w:val="single"/>
        </w:rPr>
      </w:pPr>
    </w:p>
    <w:p w14:paraId="0175FAE7" w14:textId="77777777" w:rsidR="009D598B" w:rsidRDefault="009D598B" w:rsidP="006675CA">
      <w:pPr>
        <w:spacing w:after="0" w:line="240" w:lineRule="auto"/>
        <w:contextualSpacing/>
        <w:rPr>
          <w:rFonts w:cstheme="minorHAnsi"/>
          <w:b/>
        </w:rPr>
      </w:pPr>
    </w:p>
    <w:p w14:paraId="262719F4" w14:textId="77777777" w:rsidR="009D598B" w:rsidRDefault="009D598B" w:rsidP="006675CA">
      <w:pPr>
        <w:spacing w:after="0" w:line="240" w:lineRule="auto"/>
        <w:contextualSpacing/>
        <w:rPr>
          <w:rFonts w:cstheme="minorHAnsi"/>
          <w:b/>
        </w:rPr>
      </w:pPr>
    </w:p>
    <w:p w14:paraId="2E0A549B" w14:textId="77777777" w:rsidR="006675CA" w:rsidRDefault="006675CA" w:rsidP="006675CA">
      <w:pPr>
        <w:spacing w:after="0" w:line="240" w:lineRule="auto"/>
        <w:contextualSpacing/>
        <w:rPr>
          <w:rFonts w:cstheme="minorHAnsi"/>
          <w:b/>
        </w:rPr>
      </w:pPr>
      <w:r w:rsidRPr="00700AF0">
        <w:rPr>
          <w:rFonts w:cstheme="minorHAnsi"/>
          <w:b/>
        </w:rPr>
        <w:t>Echocardiography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304"/>
        <w:gridCol w:w="1304"/>
        <w:gridCol w:w="1304"/>
        <w:gridCol w:w="1304"/>
        <w:gridCol w:w="1305"/>
      </w:tblGrid>
      <w:tr w:rsidR="00EB7DE7" w:rsidRPr="006675CA" w14:paraId="1D760992" w14:textId="77777777" w:rsidTr="008967CF">
        <w:trPr>
          <w:trHeight w:val="360"/>
        </w:trPr>
        <w:tc>
          <w:tcPr>
            <w:tcW w:w="4077" w:type="dxa"/>
            <w:shd w:val="clear" w:color="auto" w:fill="auto"/>
            <w:vAlign w:val="center"/>
            <w:hideMark/>
          </w:tcPr>
          <w:p w14:paraId="5D5C8B69" w14:textId="77777777" w:rsidR="00EB7DE7" w:rsidRPr="006675CA" w:rsidRDefault="00EB7DE7" w:rsidP="008967CF">
            <w:pPr>
              <w:spacing w:after="0" w:line="240" w:lineRule="auto"/>
              <w:contextualSpacing/>
              <w:rPr>
                <w:rFonts w:eastAsia="Times New Roman" w:cstheme="minorHAnsi"/>
                <w:b/>
                <w:bCs/>
                <w:color w:val="000000" w:themeColor="text1"/>
                <w:sz w:val="20"/>
                <w:szCs w:val="20"/>
                <w:u w:val="single"/>
                <w:lang w:eastAsia="en-GB"/>
              </w:rPr>
            </w:pPr>
          </w:p>
        </w:tc>
        <w:tc>
          <w:tcPr>
            <w:tcW w:w="1304" w:type="dxa"/>
            <w:shd w:val="clear" w:color="auto" w:fill="auto"/>
            <w:vAlign w:val="center"/>
            <w:hideMark/>
          </w:tcPr>
          <w:p w14:paraId="425D1176" w14:textId="77777777" w:rsidR="00EB7DE7" w:rsidRPr="006675CA" w:rsidRDefault="00EB7DE7" w:rsidP="008967CF">
            <w:pPr>
              <w:spacing w:after="0" w:line="240" w:lineRule="auto"/>
              <w:contextualSpacing/>
              <w:jc w:val="center"/>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2015/16</w:t>
            </w:r>
          </w:p>
        </w:tc>
        <w:tc>
          <w:tcPr>
            <w:tcW w:w="1304" w:type="dxa"/>
            <w:shd w:val="clear" w:color="auto" w:fill="auto"/>
            <w:vAlign w:val="center"/>
            <w:hideMark/>
          </w:tcPr>
          <w:p w14:paraId="0773BF4D" w14:textId="77777777" w:rsidR="00EB7DE7" w:rsidRPr="006675CA" w:rsidRDefault="00EB7DE7" w:rsidP="008967CF">
            <w:pPr>
              <w:spacing w:after="0" w:line="240" w:lineRule="auto"/>
              <w:contextualSpacing/>
              <w:jc w:val="center"/>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2016/17</w:t>
            </w:r>
          </w:p>
        </w:tc>
        <w:tc>
          <w:tcPr>
            <w:tcW w:w="1304" w:type="dxa"/>
            <w:shd w:val="clear" w:color="auto" w:fill="auto"/>
            <w:vAlign w:val="center"/>
            <w:hideMark/>
          </w:tcPr>
          <w:p w14:paraId="7E7EA1DE" w14:textId="77777777" w:rsidR="00EB7DE7" w:rsidRPr="006675CA" w:rsidRDefault="00EB7DE7" w:rsidP="008967CF">
            <w:pPr>
              <w:spacing w:after="0" w:line="240" w:lineRule="auto"/>
              <w:contextualSpacing/>
              <w:jc w:val="center"/>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2017/18</w:t>
            </w:r>
          </w:p>
        </w:tc>
        <w:tc>
          <w:tcPr>
            <w:tcW w:w="1304" w:type="dxa"/>
            <w:shd w:val="clear" w:color="auto" w:fill="auto"/>
            <w:vAlign w:val="center"/>
            <w:hideMark/>
          </w:tcPr>
          <w:p w14:paraId="5B14CAFE" w14:textId="77777777" w:rsidR="00EB7DE7" w:rsidRPr="006675CA" w:rsidRDefault="00EB7DE7" w:rsidP="008967CF">
            <w:pPr>
              <w:spacing w:after="0" w:line="240" w:lineRule="auto"/>
              <w:contextualSpacing/>
              <w:jc w:val="center"/>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2018/19</w:t>
            </w:r>
          </w:p>
        </w:tc>
        <w:tc>
          <w:tcPr>
            <w:tcW w:w="1305" w:type="dxa"/>
            <w:shd w:val="clear" w:color="auto" w:fill="auto"/>
            <w:vAlign w:val="center"/>
            <w:hideMark/>
          </w:tcPr>
          <w:p w14:paraId="47BC4A2A" w14:textId="77777777" w:rsidR="00EB7DE7" w:rsidRPr="006675CA" w:rsidRDefault="00EB7DE7" w:rsidP="008967CF">
            <w:pPr>
              <w:spacing w:after="0" w:line="240" w:lineRule="auto"/>
              <w:contextualSpacing/>
              <w:jc w:val="center"/>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2019/20</w:t>
            </w:r>
          </w:p>
        </w:tc>
      </w:tr>
      <w:tr w:rsidR="00EB7DE7" w:rsidRPr="006675CA" w14:paraId="6B54C3EB" w14:textId="77777777" w:rsidTr="008967CF">
        <w:trPr>
          <w:trHeight w:val="315"/>
        </w:trPr>
        <w:tc>
          <w:tcPr>
            <w:tcW w:w="4077" w:type="dxa"/>
            <w:shd w:val="clear" w:color="auto" w:fill="auto"/>
            <w:vAlign w:val="center"/>
            <w:hideMark/>
          </w:tcPr>
          <w:p w14:paraId="5459F77C" w14:textId="77777777" w:rsidR="00EB7DE7" w:rsidRPr="006675CA" w:rsidRDefault="00EB7DE7" w:rsidP="008967CF">
            <w:pPr>
              <w:spacing w:after="0" w:line="240" w:lineRule="auto"/>
              <w:contextualSpacing/>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In Health Total Activity</w:t>
            </w:r>
          </w:p>
        </w:tc>
        <w:tc>
          <w:tcPr>
            <w:tcW w:w="1304" w:type="dxa"/>
            <w:shd w:val="clear" w:color="auto" w:fill="auto"/>
            <w:noWrap/>
            <w:vAlign w:val="center"/>
            <w:hideMark/>
          </w:tcPr>
          <w:p w14:paraId="1A783AE6" w14:textId="77777777" w:rsidR="00EB7DE7" w:rsidRPr="00E06449" w:rsidRDefault="00EB7DE7" w:rsidP="008967CF">
            <w:pPr>
              <w:spacing w:after="0" w:line="240" w:lineRule="auto"/>
              <w:contextualSpacing/>
              <w:jc w:val="center"/>
              <w:rPr>
                <w:rFonts w:eastAsia="Times New Roman" w:cstheme="minorHAnsi"/>
                <w:color w:val="000000"/>
                <w:lang w:eastAsia="en-GB"/>
              </w:rPr>
            </w:pPr>
            <w:r w:rsidRPr="00E06449">
              <w:rPr>
                <w:rFonts w:eastAsia="Times New Roman" w:cstheme="minorHAnsi"/>
                <w:color w:val="000000"/>
                <w:lang w:eastAsia="en-GB"/>
              </w:rPr>
              <w:t>477</w:t>
            </w:r>
          </w:p>
        </w:tc>
        <w:tc>
          <w:tcPr>
            <w:tcW w:w="1304" w:type="dxa"/>
            <w:shd w:val="clear" w:color="auto" w:fill="auto"/>
            <w:noWrap/>
            <w:vAlign w:val="center"/>
            <w:hideMark/>
          </w:tcPr>
          <w:p w14:paraId="11783DC8" w14:textId="77777777" w:rsidR="00EB7DE7" w:rsidRPr="00E06449" w:rsidRDefault="00EB7DE7" w:rsidP="008967CF">
            <w:pPr>
              <w:spacing w:after="0" w:line="240" w:lineRule="auto"/>
              <w:contextualSpacing/>
              <w:jc w:val="center"/>
              <w:rPr>
                <w:rFonts w:eastAsia="Times New Roman" w:cstheme="minorHAnsi"/>
                <w:color w:val="000000"/>
                <w:lang w:eastAsia="en-GB"/>
              </w:rPr>
            </w:pPr>
            <w:r w:rsidRPr="00E06449">
              <w:rPr>
                <w:rFonts w:eastAsia="Times New Roman" w:cstheme="minorHAnsi"/>
                <w:color w:val="000000"/>
                <w:lang w:eastAsia="en-GB"/>
              </w:rPr>
              <w:t>577</w:t>
            </w:r>
          </w:p>
        </w:tc>
        <w:tc>
          <w:tcPr>
            <w:tcW w:w="1304" w:type="dxa"/>
            <w:shd w:val="clear" w:color="auto" w:fill="auto"/>
            <w:noWrap/>
            <w:vAlign w:val="center"/>
            <w:hideMark/>
          </w:tcPr>
          <w:p w14:paraId="4CE6EC49" w14:textId="77777777" w:rsidR="00EB7DE7" w:rsidRPr="00E06449" w:rsidRDefault="00EB7DE7" w:rsidP="008967CF">
            <w:pPr>
              <w:spacing w:after="0" w:line="240" w:lineRule="auto"/>
              <w:contextualSpacing/>
              <w:jc w:val="center"/>
              <w:rPr>
                <w:rFonts w:eastAsia="Times New Roman" w:cstheme="minorHAnsi"/>
                <w:color w:val="000000"/>
                <w:lang w:eastAsia="en-GB"/>
              </w:rPr>
            </w:pPr>
            <w:r w:rsidRPr="00E06449">
              <w:rPr>
                <w:rFonts w:eastAsia="Times New Roman" w:cstheme="minorHAnsi"/>
                <w:color w:val="000000"/>
                <w:lang w:eastAsia="en-GB"/>
              </w:rPr>
              <w:t>622</w:t>
            </w:r>
          </w:p>
        </w:tc>
        <w:tc>
          <w:tcPr>
            <w:tcW w:w="1304" w:type="dxa"/>
            <w:shd w:val="clear" w:color="auto" w:fill="auto"/>
            <w:noWrap/>
            <w:vAlign w:val="center"/>
            <w:hideMark/>
          </w:tcPr>
          <w:p w14:paraId="52038310" w14:textId="77777777" w:rsidR="00EB7DE7" w:rsidRPr="00E06449" w:rsidRDefault="00EB7DE7" w:rsidP="008967CF">
            <w:pPr>
              <w:spacing w:after="0" w:line="240" w:lineRule="auto"/>
              <w:contextualSpacing/>
              <w:jc w:val="center"/>
              <w:rPr>
                <w:rFonts w:eastAsia="Times New Roman" w:cstheme="minorHAnsi"/>
                <w:color w:val="000000"/>
                <w:lang w:eastAsia="en-GB"/>
              </w:rPr>
            </w:pPr>
            <w:r w:rsidRPr="00E06449">
              <w:rPr>
                <w:rFonts w:eastAsia="Times New Roman" w:cstheme="minorHAnsi"/>
                <w:color w:val="000000"/>
                <w:lang w:eastAsia="en-GB"/>
              </w:rPr>
              <w:t>494</w:t>
            </w:r>
          </w:p>
        </w:tc>
        <w:tc>
          <w:tcPr>
            <w:tcW w:w="1305" w:type="dxa"/>
            <w:shd w:val="clear" w:color="auto" w:fill="auto"/>
            <w:noWrap/>
            <w:vAlign w:val="center"/>
            <w:hideMark/>
          </w:tcPr>
          <w:p w14:paraId="6BC7CEC8" w14:textId="77777777" w:rsidR="00EB7DE7" w:rsidRPr="00E06449" w:rsidRDefault="00EB7DE7" w:rsidP="008967CF">
            <w:pPr>
              <w:spacing w:after="0" w:line="240" w:lineRule="auto"/>
              <w:contextualSpacing/>
              <w:jc w:val="center"/>
              <w:rPr>
                <w:rFonts w:eastAsia="Times New Roman" w:cstheme="minorHAnsi"/>
                <w:color w:val="000000"/>
                <w:lang w:eastAsia="en-GB"/>
              </w:rPr>
            </w:pPr>
            <w:r w:rsidRPr="00E06449">
              <w:rPr>
                <w:rFonts w:eastAsia="Times New Roman" w:cstheme="minorHAnsi"/>
                <w:color w:val="000000"/>
                <w:lang w:eastAsia="en-GB"/>
              </w:rPr>
              <w:t>459</w:t>
            </w:r>
          </w:p>
        </w:tc>
      </w:tr>
      <w:tr w:rsidR="00EB7DE7" w:rsidRPr="006675CA" w14:paraId="724B2D7B" w14:textId="77777777" w:rsidTr="008967CF">
        <w:trPr>
          <w:trHeight w:val="315"/>
        </w:trPr>
        <w:tc>
          <w:tcPr>
            <w:tcW w:w="4077" w:type="dxa"/>
            <w:shd w:val="clear" w:color="auto" w:fill="auto"/>
            <w:vAlign w:val="center"/>
            <w:hideMark/>
          </w:tcPr>
          <w:p w14:paraId="2DECF28D" w14:textId="77777777" w:rsidR="00EB7DE7" w:rsidRPr="006675CA" w:rsidRDefault="00EB7DE7" w:rsidP="008967CF">
            <w:pPr>
              <w:spacing w:after="0" w:line="240" w:lineRule="auto"/>
              <w:contextualSpacing/>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Dif</w:t>
            </w:r>
            <w:r>
              <w:rPr>
                <w:rFonts w:eastAsia="Times New Roman" w:cstheme="minorHAnsi"/>
                <w:b/>
                <w:bCs/>
                <w:color w:val="000000" w:themeColor="text1"/>
                <w:sz w:val="20"/>
                <w:szCs w:val="20"/>
                <w:lang w:eastAsia="en-GB"/>
              </w:rPr>
              <w:t>ference</w:t>
            </w:r>
            <w:r w:rsidRPr="006675CA">
              <w:rPr>
                <w:rFonts w:eastAsia="Times New Roman" w:cstheme="minorHAnsi"/>
                <w:b/>
                <w:bCs/>
                <w:color w:val="000000" w:themeColor="text1"/>
                <w:sz w:val="20"/>
                <w:szCs w:val="20"/>
                <w:lang w:eastAsia="en-GB"/>
              </w:rPr>
              <w:t xml:space="preserve"> vs previous year</w:t>
            </w:r>
          </w:p>
        </w:tc>
        <w:tc>
          <w:tcPr>
            <w:tcW w:w="1304" w:type="dxa"/>
            <w:shd w:val="clear" w:color="auto" w:fill="auto"/>
            <w:noWrap/>
            <w:vAlign w:val="center"/>
            <w:hideMark/>
          </w:tcPr>
          <w:p w14:paraId="7621DF84" w14:textId="77777777" w:rsidR="00EB7DE7" w:rsidRPr="00E06449" w:rsidRDefault="00EB7DE7" w:rsidP="008967CF">
            <w:pPr>
              <w:spacing w:after="0" w:line="240" w:lineRule="auto"/>
              <w:contextualSpacing/>
              <w:jc w:val="center"/>
              <w:rPr>
                <w:rFonts w:eastAsia="Times New Roman" w:cstheme="minorHAnsi"/>
                <w:color w:val="000000"/>
                <w:lang w:eastAsia="en-GB"/>
              </w:rPr>
            </w:pPr>
            <w:r w:rsidRPr="00E06449">
              <w:rPr>
                <w:rFonts w:eastAsia="Times New Roman" w:cstheme="minorHAnsi"/>
                <w:color w:val="000000"/>
                <w:lang w:eastAsia="en-GB"/>
              </w:rPr>
              <w:t> </w:t>
            </w:r>
          </w:p>
        </w:tc>
        <w:tc>
          <w:tcPr>
            <w:tcW w:w="1304" w:type="dxa"/>
            <w:shd w:val="clear" w:color="auto" w:fill="auto"/>
            <w:noWrap/>
            <w:vAlign w:val="center"/>
            <w:hideMark/>
          </w:tcPr>
          <w:p w14:paraId="0C88B20F" w14:textId="77777777" w:rsidR="00EB7DE7" w:rsidRPr="00E06449" w:rsidRDefault="00EB7DE7" w:rsidP="008967CF">
            <w:pPr>
              <w:spacing w:after="0" w:line="240" w:lineRule="auto"/>
              <w:contextualSpacing/>
              <w:jc w:val="center"/>
              <w:rPr>
                <w:rFonts w:eastAsia="Times New Roman" w:cstheme="minorHAnsi"/>
                <w:color w:val="000000"/>
                <w:lang w:eastAsia="en-GB"/>
              </w:rPr>
            </w:pPr>
            <w:r w:rsidRPr="00E06449">
              <w:rPr>
                <w:rFonts w:eastAsia="Times New Roman" w:cstheme="minorHAnsi"/>
                <w:color w:val="000000"/>
                <w:lang w:eastAsia="en-GB"/>
              </w:rPr>
              <w:t>100</w:t>
            </w:r>
          </w:p>
        </w:tc>
        <w:tc>
          <w:tcPr>
            <w:tcW w:w="1304" w:type="dxa"/>
            <w:shd w:val="clear" w:color="auto" w:fill="auto"/>
            <w:noWrap/>
            <w:vAlign w:val="center"/>
            <w:hideMark/>
          </w:tcPr>
          <w:p w14:paraId="73239A86" w14:textId="77777777" w:rsidR="00EB7DE7" w:rsidRPr="00E06449" w:rsidRDefault="00EB7DE7" w:rsidP="008967CF">
            <w:pPr>
              <w:spacing w:after="0" w:line="240" w:lineRule="auto"/>
              <w:contextualSpacing/>
              <w:jc w:val="center"/>
              <w:rPr>
                <w:rFonts w:eastAsia="Times New Roman" w:cstheme="minorHAnsi"/>
                <w:color w:val="000000"/>
                <w:lang w:eastAsia="en-GB"/>
              </w:rPr>
            </w:pPr>
            <w:r w:rsidRPr="00E06449">
              <w:rPr>
                <w:rFonts w:eastAsia="Times New Roman" w:cstheme="minorHAnsi"/>
                <w:color w:val="000000"/>
                <w:lang w:eastAsia="en-GB"/>
              </w:rPr>
              <w:t>45</w:t>
            </w:r>
          </w:p>
        </w:tc>
        <w:tc>
          <w:tcPr>
            <w:tcW w:w="1304" w:type="dxa"/>
            <w:shd w:val="clear" w:color="auto" w:fill="auto"/>
            <w:noWrap/>
            <w:vAlign w:val="center"/>
            <w:hideMark/>
          </w:tcPr>
          <w:p w14:paraId="37EC05E9" w14:textId="77777777" w:rsidR="00EB7DE7" w:rsidRPr="00E06449" w:rsidRDefault="00EB7DE7" w:rsidP="008967CF">
            <w:pPr>
              <w:spacing w:after="0" w:line="240" w:lineRule="auto"/>
              <w:contextualSpacing/>
              <w:jc w:val="center"/>
              <w:rPr>
                <w:rFonts w:eastAsia="Times New Roman" w:cstheme="minorHAnsi"/>
                <w:color w:val="000000"/>
                <w:lang w:eastAsia="en-GB"/>
              </w:rPr>
            </w:pPr>
            <w:r w:rsidRPr="00E06449">
              <w:rPr>
                <w:rFonts w:eastAsia="Times New Roman" w:cstheme="minorHAnsi"/>
                <w:color w:val="000000"/>
                <w:lang w:eastAsia="en-GB"/>
              </w:rPr>
              <w:t>-128</w:t>
            </w:r>
          </w:p>
        </w:tc>
        <w:tc>
          <w:tcPr>
            <w:tcW w:w="1305" w:type="dxa"/>
            <w:shd w:val="clear" w:color="auto" w:fill="auto"/>
            <w:noWrap/>
            <w:vAlign w:val="center"/>
            <w:hideMark/>
          </w:tcPr>
          <w:p w14:paraId="74AB7F9A" w14:textId="77777777" w:rsidR="00EB7DE7" w:rsidRPr="00E06449" w:rsidRDefault="00EB7DE7" w:rsidP="008967CF">
            <w:pPr>
              <w:spacing w:after="0" w:line="240" w:lineRule="auto"/>
              <w:contextualSpacing/>
              <w:jc w:val="center"/>
              <w:rPr>
                <w:rFonts w:eastAsia="Times New Roman" w:cstheme="minorHAnsi"/>
                <w:color w:val="000000"/>
                <w:lang w:eastAsia="en-GB"/>
              </w:rPr>
            </w:pPr>
            <w:r w:rsidRPr="00E06449">
              <w:rPr>
                <w:rFonts w:eastAsia="Times New Roman" w:cstheme="minorHAnsi"/>
                <w:color w:val="000000"/>
                <w:lang w:eastAsia="en-GB"/>
              </w:rPr>
              <w:t>-35</w:t>
            </w:r>
          </w:p>
        </w:tc>
      </w:tr>
      <w:tr w:rsidR="00EB7DE7" w:rsidRPr="006675CA" w14:paraId="0B62AE11" w14:textId="77777777" w:rsidTr="00E06449">
        <w:trPr>
          <w:trHeight w:val="315"/>
        </w:trPr>
        <w:tc>
          <w:tcPr>
            <w:tcW w:w="4077" w:type="dxa"/>
            <w:shd w:val="clear" w:color="auto" w:fill="auto"/>
            <w:vAlign w:val="center"/>
            <w:hideMark/>
          </w:tcPr>
          <w:p w14:paraId="491CAF4F" w14:textId="77777777" w:rsidR="00EB7DE7" w:rsidRPr="006675CA" w:rsidRDefault="00EB7DE7" w:rsidP="008967CF">
            <w:pPr>
              <w:spacing w:after="0" w:line="240" w:lineRule="auto"/>
              <w:contextualSpacing/>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 xml:space="preserve">% </w:t>
            </w:r>
            <w:r>
              <w:rPr>
                <w:rFonts w:eastAsia="Times New Roman" w:cstheme="minorHAnsi"/>
                <w:b/>
                <w:bCs/>
                <w:color w:val="000000" w:themeColor="text1"/>
                <w:sz w:val="20"/>
                <w:szCs w:val="20"/>
                <w:lang w:eastAsia="en-GB"/>
              </w:rPr>
              <w:t xml:space="preserve">change </w:t>
            </w:r>
            <w:r w:rsidRPr="006675CA">
              <w:rPr>
                <w:rFonts w:eastAsia="Times New Roman" w:cstheme="minorHAnsi"/>
                <w:b/>
                <w:bCs/>
                <w:color w:val="000000" w:themeColor="text1"/>
                <w:sz w:val="20"/>
                <w:szCs w:val="20"/>
                <w:lang w:eastAsia="en-GB"/>
              </w:rPr>
              <w:t>vs previous year</w:t>
            </w:r>
          </w:p>
        </w:tc>
        <w:tc>
          <w:tcPr>
            <w:tcW w:w="1304" w:type="dxa"/>
            <w:shd w:val="clear" w:color="000000" w:fill="F2F2F2"/>
            <w:noWrap/>
            <w:vAlign w:val="center"/>
            <w:hideMark/>
          </w:tcPr>
          <w:p w14:paraId="6C7E4BA1" w14:textId="77777777" w:rsidR="00EB7DE7" w:rsidRPr="00E06449" w:rsidRDefault="00EB7DE7" w:rsidP="008967CF">
            <w:pPr>
              <w:spacing w:after="0" w:line="240" w:lineRule="auto"/>
              <w:contextualSpacing/>
              <w:jc w:val="center"/>
              <w:rPr>
                <w:rFonts w:eastAsia="Times New Roman" w:cstheme="minorHAnsi"/>
                <w:color w:val="000000"/>
                <w:lang w:eastAsia="en-GB"/>
              </w:rPr>
            </w:pPr>
            <w:r w:rsidRPr="00E06449">
              <w:rPr>
                <w:rFonts w:eastAsia="Times New Roman" w:cstheme="minorHAnsi"/>
                <w:color w:val="000000"/>
                <w:lang w:eastAsia="en-GB"/>
              </w:rPr>
              <w:t> </w:t>
            </w:r>
          </w:p>
        </w:tc>
        <w:tc>
          <w:tcPr>
            <w:tcW w:w="1304" w:type="dxa"/>
            <w:shd w:val="clear" w:color="auto" w:fill="FFFFFF" w:themeFill="background1"/>
            <w:noWrap/>
            <w:vAlign w:val="center"/>
            <w:hideMark/>
          </w:tcPr>
          <w:p w14:paraId="442848D6" w14:textId="77777777" w:rsidR="00EB7DE7" w:rsidRPr="00E06449" w:rsidRDefault="00EB7DE7" w:rsidP="008967CF">
            <w:pPr>
              <w:spacing w:after="0" w:line="240" w:lineRule="auto"/>
              <w:contextualSpacing/>
              <w:jc w:val="center"/>
              <w:rPr>
                <w:rFonts w:cstheme="minorHAnsi"/>
                <w:color w:val="000000"/>
                <w:sz w:val="20"/>
                <w:szCs w:val="20"/>
              </w:rPr>
            </w:pPr>
            <w:r w:rsidRPr="00E06449">
              <w:rPr>
                <w:rFonts w:cstheme="minorHAnsi"/>
                <w:color w:val="000000"/>
                <w:sz w:val="20"/>
                <w:szCs w:val="20"/>
              </w:rPr>
              <w:t>20.96%</w:t>
            </w:r>
          </w:p>
        </w:tc>
        <w:tc>
          <w:tcPr>
            <w:tcW w:w="1304" w:type="dxa"/>
            <w:shd w:val="clear" w:color="auto" w:fill="FFFFFF" w:themeFill="background1"/>
            <w:noWrap/>
            <w:vAlign w:val="center"/>
            <w:hideMark/>
          </w:tcPr>
          <w:p w14:paraId="587F2291" w14:textId="77777777" w:rsidR="00EB7DE7" w:rsidRPr="00E06449" w:rsidRDefault="00EB7DE7" w:rsidP="008967CF">
            <w:pPr>
              <w:spacing w:after="0" w:line="240" w:lineRule="auto"/>
              <w:contextualSpacing/>
              <w:jc w:val="center"/>
              <w:rPr>
                <w:rFonts w:cstheme="minorHAnsi"/>
                <w:color w:val="000000"/>
                <w:sz w:val="20"/>
                <w:szCs w:val="20"/>
              </w:rPr>
            </w:pPr>
            <w:r w:rsidRPr="00E06449">
              <w:rPr>
                <w:rFonts w:cstheme="minorHAnsi"/>
                <w:color w:val="000000"/>
                <w:sz w:val="20"/>
                <w:szCs w:val="20"/>
              </w:rPr>
              <w:t>7.80%</w:t>
            </w:r>
          </w:p>
        </w:tc>
        <w:tc>
          <w:tcPr>
            <w:tcW w:w="1304" w:type="dxa"/>
            <w:shd w:val="clear" w:color="auto" w:fill="FFFFFF" w:themeFill="background1"/>
            <w:noWrap/>
            <w:vAlign w:val="center"/>
            <w:hideMark/>
          </w:tcPr>
          <w:p w14:paraId="205DF2F0" w14:textId="77777777" w:rsidR="00EB7DE7" w:rsidRPr="00E06449" w:rsidRDefault="00EB7DE7" w:rsidP="008967CF">
            <w:pPr>
              <w:spacing w:after="0" w:line="240" w:lineRule="auto"/>
              <w:contextualSpacing/>
              <w:jc w:val="center"/>
              <w:rPr>
                <w:rFonts w:cstheme="minorHAnsi"/>
                <w:color w:val="000000"/>
                <w:sz w:val="20"/>
                <w:szCs w:val="20"/>
              </w:rPr>
            </w:pPr>
            <w:r w:rsidRPr="00E06449">
              <w:rPr>
                <w:rFonts w:cstheme="minorHAnsi"/>
                <w:color w:val="000000"/>
                <w:sz w:val="20"/>
                <w:szCs w:val="20"/>
              </w:rPr>
              <w:t>-20.58%</w:t>
            </w:r>
          </w:p>
        </w:tc>
        <w:tc>
          <w:tcPr>
            <w:tcW w:w="1305" w:type="dxa"/>
            <w:shd w:val="clear" w:color="auto" w:fill="FFFFFF" w:themeFill="background1"/>
            <w:noWrap/>
            <w:vAlign w:val="center"/>
            <w:hideMark/>
          </w:tcPr>
          <w:p w14:paraId="4F3DA7FE" w14:textId="77777777" w:rsidR="00EB7DE7" w:rsidRPr="00E06449" w:rsidRDefault="00EB7DE7" w:rsidP="008967CF">
            <w:pPr>
              <w:spacing w:after="0" w:line="240" w:lineRule="auto"/>
              <w:contextualSpacing/>
              <w:jc w:val="center"/>
              <w:rPr>
                <w:rFonts w:cstheme="minorHAnsi"/>
                <w:color w:val="000000"/>
                <w:sz w:val="20"/>
                <w:szCs w:val="20"/>
              </w:rPr>
            </w:pPr>
            <w:r w:rsidRPr="00E06449">
              <w:rPr>
                <w:rFonts w:cstheme="minorHAnsi"/>
                <w:color w:val="000000"/>
                <w:sz w:val="20"/>
                <w:szCs w:val="20"/>
              </w:rPr>
              <w:t>-7.09%</w:t>
            </w:r>
          </w:p>
        </w:tc>
      </w:tr>
      <w:tr w:rsidR="00EB7DE7" w:rsidRPr="006675CA" w14:paraId="518CC73C" w14:textId="77777777" w:rsidTr="008967CF">
        <w:trPr>
          <w:trHeight w:val="315"/>
        </w:trPr>
        <w:tc>
          <w:tcPr>
            <w:tcW w:w="10598" w:type="dxa"/>
            <w:gridSpan w:val="6"/>
            <w:tcBorders>
              <w:bottom w:val="single" w:sz="4" w:space="0" w:color="auto"/>
            </w:tcBorders>
            <w:shd w:val="clear" w:color="auto" w:fill="auto"/>
            <w:vAlign w:val="center"/>
          </w:tcPr>
          <w:p w14:paraId="63BC8024" w14:textId="4A5E288B" w:rsidR="00EB7DE7" w:rsidRPr="006675CA" w:rsidRDefault="00EB7DE7" w:rsidP="008967CF">
            <w:pPr>
              <w:spacing w:after="0" w:line="240" w:lineRule="auto"/>
              <w:contextualSpacing/>
              <w:jc w:val="center"/>
              <w:rPr>
                <w:rFonts w:eastAsia="Times New Roman" w:cstheme="minorHAnsi"/>
                <w:i/>
                <w:color w:val="000000" w:themeColor="text1"/>
                <w:sz w:val="20"/>
                <w:szCs w:val="20"/>
                <w:lang w:eastAsia="en-GB"/>
              </w:rPr>
            </w:pPr>
            <w:r w:rsidRPr="006675CA">
              <w:rPr>
                <w:rFonts w:eastAsia="Times New Roman" w:cstheme="minorHAnsi"/>
                <w:i/>
                <w:color w:val="000000" w:themeColor="text1"/>
                <w:sz w:val="20"/>
                <w:szCs w:val="20"/>
                <w:lang w:eastAsia="en-GB"/>
              </w:rPr>
              <w:t xml:space="preserve">Overall, </w:t>
            </w:r>
            <w:r>
              <w:rPr>
                <w:rFonts w:eastAsia="Times New Roman" w:cstheme="minorHAnsi"/>
                <w:i/>
                <w:color w:val="000000" w:themeColor="text1"/>
                <w:sz w:val="20"/>
                <w:szCs w:val="20"/>
                <w:lang w:eastAsia="en-GB"/>
              </w:rPr>
              <w:t>from 2015/16 to 20</w:t>
            </w:r>
            <w:r w:rsidR="0089524B">
              <w:rPr>
                <w:rFonts w:eastAsia="Times New Roman" w:cstheme="minorHAnsi"/>
                <w:i/>
                <w:color w:val="000000" w:themeColor="text1"/>
                <w:sz w:val="20"/>
                <w:szCs w:val="20"/>
                <w:lang w:eastAsia="en-GB"/>
              </w:rPr>
              <w:t>19/20, there has been a 21% decrease</w:t>
            </w:r>
            <w:r w:rsidR="00C01BB5">
              <w:rPr>
                <w:rFonts w:eastAsia="Times New Roman" w:cstheme="minorHAnsi"/>
                <w:i/>
                <w:color w:val="000000" w:themeColor="text1"/>
                <w:sz w:val="20"/>
                <w:szCs w:val="20"/>
                <w:lang w:eastAsia="en-GB"/>
              </w:rPr>
              <w:t xml:space="preserve"> in Echocardiography</w:t>
            </w:r>
            <w:r>
              <w:rPr>
                <w:rFonts w:eastAsia="Times New Roman" w:cstheme="minorHAnsi"/>
                <w:i/>
                <w:color w:val="000000" w:themeColor="text1"/>
                <w:sz w:val="20"/>
                <w:szCs w:val="20"/>
                <w:lang w:eastAsia="en-GB"/>
              </w:rPr>
              <w:t xml:space="preserve"> undertaken by InHealth</w:t>
            </w:r>
          </w:p>
        </w:tc>
      </w:tr>
      <w:tr w:rsidR="00EB7DE7" w:rsidRPr="006675CA" w14:paraId="1F26DC40" w14:textId="77777777" w:rsidTr="008967CF">
        <w:trPr>
          <w:trHeight w:val="315"/>
        </w:trPr>
        <w:tc>
          <w:tcPr>
            <w:tcW w:w="105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C420B1" w14:textId="77777777" w:rsidR="00EB7DE7" w:rsidRPr="006675CA" w:rsidRDefault="00EB7DE7" w:rsidP="008967CF">
            <w:pPr>
              <w:spacing w:after="0" w:line="240" w:lineRule="auto"/>
              <w:contextualSpacing/>
              <w:jc w:val="center"/>
              <w:rPr>
                <w:rFonts w:eastAsia="Times New Roman" w:cstheme="minorHAnsi"/>
                <w:color w:val="000000" w:themeColor="text1"/>
                <w:sz w:val="20"/>
                <w:szCs w:val="20"/>
                <w:lang w:eastAsia="en-GB"/>
              </w:rPr>
            </w:pPr>
          </w:p>
        </w:tc>
      </w:tr>
      <w:tr w:rsidR="0089524B" w:rsidRPr="006675CA" w14:paraId="54D9BE31" w14:textId="77777777" w:rsidTr="00E06449">
        <w:trPr>
          <w:trHeight w:val="315"/>
        </w:trPr>
        <w:tc>
          <w:tcPr>
            <w:tcW w:w="4077" w:type="dxa"/>
            <w:tcBorders>
              <w:top w:val="single" w:sz="4" w:space="0" w:color="auto"/>
            </w:tcBorders>
            <w:shd w:val="clear" w:color="auto" w:fill="auto"/>
            <w:vAlign w:val="center"/>
          </w:tcPr>
          <w:p w14:paraId="30DC54B3" w14:textId="77777777" w:rsidR="0089524B" w:rsidRPr="006675CA" w:rsidRDefault="0089524B" w:rsidP="0089524B">
            <w:pPr>
              <w:spacing w:after="0" w:line="240" w:lineRule="auto"/>
              <w:contextualSpacing/>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UHS Total Activity</w:t>
            </w:r>
          </w:p>
        </w:tc>
        <w:tc>
          <w:tcPr>
            <w:tcW w:w="1304" w:type="dxa"/>
            <w:tcBorders>
              <w:top w:val="single" w:sz="4" w:space="0" w:color="auto"/>
              <w:left w:val="single" w:sz="4" w:space="0" w:color="A6A6A6"/>
              <w:bottom w:val="single" w:sz="4" w:space="0" w:color="auto"/>
              <w:right w:val="single" w:sz="4" w:space="0" w:color="auto"/>
            </w:tcBorders>
            <w:shd w:val="clear" w:color="auto" w:fill="auto"/>
            <w:noWrap/>
            <w:vAlign w:val="center"/>
          </w:tcPr>
          <w:p w14:paraId="0FAA1B84" w14:textId="61DBAB04" w:rsidR="0089524B" w:rsidRPr="00E06449" w:rsidRDefault="0089524B" w:rsidP="0089524B">
            <w:pPr>
              <w:spacing w:after="0" w:line="240" w:lineRule="auto"/>
              <w:contextualSpacing/>
              <w:jc w:val="center"/>
              <w:rPr>
                <w:rFonts w:eastAsia="Times New Roman" w:cstheme="minorHAnsi"/>
                <w:color w:val="000000" w:themeColor="text1"/>
                <w:sz w:val="20"/>
                <w:szCs w:val="20"/>
                <w:lang w:eastAsia="en-GB"/>
              </w:rPr>
            </w:pPr>
            <w:r w:rsidRPr="00E06449">
              <w:rPr>
                <w:rFonts w:cstheme="minorHAnsi"/>
                <w:color w:val="000000"/>
                <w:sz w:val="20"/>
                <w:szCs w:val="20"/>
              </w:rPr>
              <w:t>2,672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E4B2F" w14:textId="433CAE64" w:rsidR="0089524B" w:rsidRPr="00E06449" w:rsidRDefault="0089524B" w:rsidP="0089524B">
            <w:pPr>
              <w:spacing w:after="0" w:line="240" w:lineRule="auto"/>
              <w:contextualSpacing/>
              <w:jc w:val="center"/>
              <w:rPr>
                <w:rFonts w:eastAsia="Times New Roman" w:cstheme="minorHAnsi"/>
                <w:color w:val="000000" w:themeColor="text1"/>
                <w:sz w:val="20"/>
                <w:szCs w:val="20"/>
                <w:lang w:eastAsia="en-GB"/>
              </w:rPr>
            </w:pPr>
            <w:r w:rsidRPr="00E06449">
              <w:rPr>
                <w:rFonts w:cstheme="minorHAnsi"/>
                <w:color w:val="000000"/>
                <w:sz w:val="20"/>
                <w:szCs w:val="20"/>
              </w:rPr>
              <w:t>3,232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6EE57" w14:textId="09FB086D" w:rsidR="0089524B" w:rsidRPr="00E06449" w:rsidRDefault="0089524B" w:rsidP="0089524B">
            <w:pPr>
              <w:spacing w:after="0" w:line="240" w:lineRule="auto"/>
              <w:contextualSpacing/>
              <w:jc w:val="center"/>
              <w:rPr>
                <w:rFonts w:eastAsia="Times New Roman" w:cstheme="minorHAnsi"/>
                <w:color w:val="000000" w:themeColor="text1"/>
                <w:sz w:val="20"/>
                <w:szCs w:val="20"/>
                <w:lang w:eastAsia="en-GB"/>
              </w:rPr>
            </w:pPr>
            <w:r w:rsidRPr="00E06449">
              <w:rPr>
                <w:rFonts w:cstheme="minorHAnsi"/>
                <w:color w:val="000000"/>
                <w:sz w:val="20"/>
                <w:szCs w:val="20"/>
              </w:rPr>
              <w:t>3,563</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25626" w14:textId="7E7EE5C1" w:rsidR="0089524B" w:rsidRPr="00E06449" w:rsidRDefault="0089524B" w:rsidP="0089524B">
            <w:pPr>
              <w:spacing w:after="0" w:line="240" w:lineRule="auto"/>
              <w:contextualSpacing/>
              <w:jc w:val="center"/>
              <w:rPr>
                <w:rFonts w:eastAsia="Times New Roman" w:cstheme="minorHAnsi"/>
                <w:color w:val="000000" w:themeColor="text1"/>
                <w:sz w:val="20"/>
                <w:szCs w:val="20"/>
                <w:lang w:eastAsia="en-GB"/>
              </w:rPr>
            </w:pPr>
            <w:r w:rsidRPr="00E06449">
              <w:rPr>
                <w:rFonts w:cstheme="minorHAnsi"/>
                <w:color w:val="000000"/>
                <w:sz w:val="20"/>
                <w:szCs w:val="20"/>
              </w:rPr>
              <w:t>3,282</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FC1C6" w14:textId="65412B1A" w:rsidR="0089524B" w:rsidRPr="00E06449" w:rsidRDefault="0089524B" w:rsidP="0089524B">
            <w:pPr>
              <w:spacing w:after="0" w:line="240" w:lineRule="auto"/>
              <w:contextualSpacing/>
              <w:jc w:val="center"/>
              <w:rPr>
                <w:rFonts w:eastAsia="Times New Roman" w:cstheme="minorHAnsi"/>
                <w:color w:val="000000" w:themeColor="text1"/>
                <w:sz w:val="20"/>
                <w:szCs w:val="20"/>
                <w:lang w:eastAsia="en-GB"/>
              </w:rPr>
            </w:pPr>
            <w:r w:rsidRPr="00E06449">
              <w:rPr>
                <w:rFonts w:cstheme="minorHAnsi"/>
                <w:color w:val="000000"/>
                <w:sz w:val="20"/>
                <w:szCs w:val="20"/>
              </w:rPr>
              <w:t>3,458</w:t>
            </w:r>
          </w:p>
        </w:tc>
      </w:tr>
      <w:tr w:rsidR="00C8028D" w:rsidRPr="006675CA" w14:paraId="38EE8C6C" w14:textId="77777777" w:rsidTr="00E06449">
        <w:trPr>
          <w:trHeight w:val="315"/>
        </w:trPr>
        <w:tc>
          <w:tcPr>
            <w:tcW w:w="4077" w:type="dxa"/>
            <w:shd w:val="clear" w:color="auto" w:fill="auto"/>
            <w:vAlign w:val="center"/>
          </w:tcPr>
          <w:p w14:paraId="406241E8" w14:textId="77777777" w:rsidR="00C8028D" w:rsidRPr="006675CA" w:rsidRDefault="00C8028D" w:rsidP="00C8028D">
            <w:pPr>
              <w:spacing w:after="0" w:line="240" w:lineRule="auto"/>
              <w:contextualSpacing/>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Solent Total Activity</w:t>
            </w:r>
          </w:p>
        </w:tc>
        <w:tc>
          <w:tcPr>
            <w:tcW w:w="1304" w:type="dxa"/>
            <w:tcBorders>
              <w:top w:val="single" w:sz="4" w:space="0" w:color="auto"/>
              <w:left w:val="single" w:sz="4" w:space="0" w:color="A6A6A6"/>
              <w:bottom w:val="single" w:sz="4" w:space="0" w:color="auto"/>
              <w:right w:val="single" w:sz="4" w:space="0" w:color="auto"/>
            </w:tcBorders>
            <w:shd w:val="clear" w:color="auto" w:fill="auto"/>
            <w:noWrap/>
            <w:vAlign w:val="center"/>
          </w:tcPr>
          <w:p w14:paraId="14872E89" w14:textId="01AFF881" w:rsidR="00C8028D" w:rsidRPr="00E06449" w:rsidRDefault="00C8028D" w:rsidP="00C8028D">
            <w:pPr>
              <w:spacing w:after="0" w:line="240" w:lineRule="auto"/>
              <w:contextualSpacing/>
              <w:jc w:val="center"/>
              <w:rPr>
                <w:rFonts w:eastAsia="Times New Roman" w:cstheme="minorHAnsi"/>
                <w:color w:val="000000" w:themeColor="text1"/>
                <w:sz w:val="20"/>
                <w:szCs w:val="20"/>
                <w:lang w:eastAsia="en-GB"/>
              </w:rPr>
            </w:pPr>
            <w:r w:rsidRPr="00E06449">
              <w:rPr>
                <w:rFonts w:cstheme="minorHAnsi"/>
                <w:color w:val="000000"/>
                <w:sz w:val="20"/>
                <w:szCs w:val="20"/>
              </w:rPr>
              <w:t>1,197</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0FBAA" w14:textId="56DD206A" w:rsidR="00C8028D" w:rsidRPr="00E06449" w:rsidRDefault="00C8028D" w:rsidP="00C8028D">
            <w:pPr>
              <w:spacing w:after="0" w:line="240" w:lineRule="auto"/>
              <w:contextualSpacing/>
              <w:jc w:val="center"/>
              <w:rPr>
                <w:rFonts w:eastAsia="Times New Roman" w:cstheme="minorHAnsi"/>
                <w:color w:val="000000" w:themeColor="text1"/>
                <w:sz w:val="20"/>
                <w:szCs w:val="20"/>
                <w:lang w:eastAsia="en-GB"/>
              </w:rPr>
            </w:pPr>
            <w:r w:rsidRPr="00E06449">
              <w:rPr>
                <w:rFonts w:cstheme="minorHAnsi"/>
                <w:color w:val="000000"/>
                <w:sz w:val="20"/>
                <w:szCs w:val="20"/>
              </w:rPr>
              <w:t>400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35D96" w14:textId="7C315B26" w:rsidR="00C8028D" w:rsidRPr="00E06449" w:rsidRDefault="00C8028D" w:rsidP="00C8028D">
            <w:pPr>
              <w:spacing w:after="0" w:line="240" w:lineRule="auto"/>
              <w:contextualSpacing/>
              <w:jc w:val="center"/>
              <w:rPr>
                <w:rFonts w:eastAsia="Times New Roman" w:cstheme="minorHAnsi"/>
                <w:color w:val="000000" w:themeColor="text1"/>
                <w:sz w:val="20"/>
                <w:szCs w:val="20"/>
                <w:lang w:eastAsia="en-GB"/>
              </w:rPr>
            </w:pPr>
            <w:r w:rsidRPr="00E06449">
              <w:rPr>
                <w:rFonts w:cstheme="minorHAnsi"/>
                <w:color w:val="000000"/>
                <w:sz w:val="20"/>
                <w:szCs w:val="20"/>
              </w:rPr>
              <w:t>641</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9F924" w14:textId="0C82AD14" w:rsidR="00C8028D" w:rsidRPr="00E06449" w:rsidRDefault="00C8028D" w:rsidP="00C8028D">
            <w:pPr>
              <w:spacing w:after="0" w:line="240" w:lineRule="auto"/>
              <w:contextualSpacing/>
              <w:jc w:val="center"/>
              <w:rPr>
                <w:rFonts w:eastAsia="Times New Roman" w:cstheme="minorHAnsi"/>
                <w:color w:val="000000" w:themeColor="text1"/>
                <w:sz w:val="20"/>
                <w:szCs w:val="20"/>
                <w:lang w:eastAsia="en-GB"/>
              </w:rPr>
            </w:pPr>
            <w:r w:rsidRPr="00E06449">
              <w:rPr>
                <w:rFonts w:cstheme="minorHAnsi"/>
                <w:color w:val="000000"/>
                <w:sz w:val="20"/>
                <w:szCs w:val="20"/>
              </w:rPr>
              <w:t>650</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7B604" w14:textId="0C369DE1" w:rsidR="00C8028D" w:rsidRPr="00E06449" w:rsidRDefault="00C8028D" w:rsidP="00C8028D">
            <w:pPr>
              <w:spacing w:after="0" w:line="240" w:lineRule="auto"/>
              <w:contextualSpacing/>
              <w:jc w:val="center"/>
              <w:rPr>
                <w:rFonts w:eastAsia="Times New Roman" w:cstheme="minorHAnsi"/>
                <w:color w:val="000000" w:themeColor="text1"/>
                <w:sz w:val="20"/>
                <w:szCs w:val="20"/>
                <w:lang w:eastAsia="en-GB"/>
              </w:rPr>
            </w:pPr>
            <w:r w:rsidRPr="00E06449">
              <w:rPr>
                <w:rFonts w:cstheme="minorHAnsi"/>
                <w:color w:val="000000"/>
                <w:sz w:val="20"/>
                <w:szCs w:val="20"/>
              </w:rPr>
              <w:t>771</w:t>
            </w:r>
          </w:p>
        </w:tc>
      </w:tr>
      <w:tr w:rsidR="00E06449" w:rsidRPr="006675CA" w14:paraId="3DDD558F" w14:textId="77777777" w:rsidTr="00E06449">
        <w:trPr>
          <w:trHeight w:val="315"/>
        </w:trPr>
        <w:tc>
          <w:tcPr>
            <w:tcW w:w="4077" w:type="dxa"/>
            <w:shd w:val="clear" w:color="auto" w:fill="auto"/>
            <w:vAlign w:val="center"/>
          </w:tcPr>
          <w:p w14:paraId="328DE453" w14:textId="77777777" w:rsidR="00E06449" w:rsidRPr="006675CA" w:rsidRDefault="00E06449" w:rsidP="00E06449">
            <w:pPr>
              <w:spacing w:after="0" w:line="240" w:lineRule="auto"/>
              <w:contextualSpacing/>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Care UK STC Total Activity</w:t>
            </w:r>
          </w:p>
        </w:tc>
        <w:tc>
          <w:tcPr>
            <w:tcW w:w="1304" w:type="dxa"/>
            <w:tcBorders>
              <w:top w:val="single" w:sz="4" w:space="0" w:color="auto"/>
              <w:left w:val="single" w:sz="4" w:space="0" w:color="A6A6A6"/>
              <w:bottom w:val="single" w:sz="4" w:space="0" w:color="auto"/>
              <w:right w:val="single" w:sz="4" w:space="0" w:color="auto"/>
            </w:tcBorders>
            <w:shd w:val="clear" w:color="auto" w:fill="auto"/>
            <w:noWrap/>
            <w:vAlign w:val="center"/>
          </w:tcPr>
          <w:p w14:paraId="087D1CDF" w14:textId="2B26D181" w:rsidR="00E06449" w:rsidRPr="00E06449" w:rsidRDefault="00E06449" w:rsidP="00E06449">
            <w:pPr>
              <w:spacing w:after="0" w:line="240" w:lineRule="auto"/>
              <w:contextualSpacing/>
              <w:jc w:val="center"/>
              <w:rPr>
                <w:rFonts w:eastAsia="Times New Roman" w:cstheme="minorHAnsi"/>
                <w:color w:val="000000" w:themeColor="text1"/>
                <w:sz w:val="20"/>
                <w:szCs w:val="20"/>
                <w:lang w:eastAsia="en-GB"/>
              </w:rPr>
            </w:pPr>
            <w:r w:rsidRPr="00E06449">
              <w:rPr>
                <w:rFonts w:cstheme="minorHAnsi"/>
                <w:color w:val="000000"/>
                <w:sz w:val="20"/>
                <w:szCs w:val="20"/>
              </w:rPr>
              <w:t>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94CE3" w14:textId="0B4012B7" w:rsidR="00E06449" w:rsidRPr="00E06449" w:rsidRDefault="00E06449" w:rsidP="00E06449">
            <w:pPr>
              <w:spacing w:after="0" w:line="240" w:lineRule="auto"/>
              <w:contextualSpacing/>
              <w:jc w:val="center"/>
              <w:rPr>
                <w:rFonts w:eastAsia="Times New Roman" w:cstheme="minorHAnsi"/>
                <w:color w:val="000000" w:themeColor="text1"/>
                <w:sz w:val="20"/>
                <w:szCs w:val="20"/>
                <w:lang w:eastAsia="en-GB"/>
              </w:rPr>
            </w:pPr>
            <w:r w:rsidRPr="00E06449">
              <w:rPr>
                <w:rFonts w:cstheme="minorHAnsi"/>
                <w:color w:val="000000"/>
                <w:sz w:val="20"/>
                <w:szCs w:val="20"/>
              </w:rPr>
              <w:t>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76AF2" w14:textId="341AA995" w:rsidR="00E06449" w:rsidRPr="00E06449" w:rsidRDefault="00E06449" w:rsidP="00E06449">
            <w:pPr>
              <w:spacing w:after="0" w:line="240" w:lineRule="auto"/>
              <w:contextualSpacing/>
              <w:jc w:val="center"/>
              <w:rPr>
                <w:rFonts w:eastAsia="Times New Roman" w:cstheme="minorHAnsi"/>
                <w:color w:val="000000" w:themeColor="text1"/>
                <w:sz w:val="20"/>
                <w:szCs w:val="20"/>
                <w:lang w:eastAsia="en-GB"/>
              </w:rPr>
            </w:pPr>
            <w:r w:rsidRPr="00E06449">
              <w:rPr>
                <w:rFonts w:cstheme="minorHAnsi"/>
                <w:color w:val="000000"/>
                <w:sz w:val="20"/>
                <w:szCs w:val="20"/>
              </w:rPr>
              <w:t>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E8E85" w14:textId="7DE88E52" w:rsidR="00E06449" w:rsidRPr="00E06449" w:rsidRDefault="00E06449" w:rsidP="00E06449">
            <w:pPr>
              <w:spacing w:after="0" w:line="240" w:lineRule="auto"/>
              <w:contextualSpacing/>
              <w:jc w:val="center"/>
              <w:rPr>
                <w:rFonts w:eastAsia="Times New Roman" w:cstheme="minorHAnsi"/>
                <w:color w:val="000000" w:themeColor="text1"/>
                <w:sz w:val="20"/>
                <w:szCs w:val="20"/>
                <w:lang w:eastAsia="en-GB"/>
              </w:rPr>
            </w:pPr>
            <w:r w:rsidRPr="00E06449">
              <w:rPr>
                <w:rFonts w:cstheme="minorHAnsi"/>
                <w:color w:val="000000"/>
                <w:sz w:val="20"/>
                <w:szCs w:val="20"/>
              </w:rPr>
              <w:t>0</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E5E89" w14:textId="5DA8CDC8" w:rsidR="00E06449" w:rsidRPr="00E06449" w:rsidRDefault="00E06449" w:rsidP="00E06449">
            <w:pPr>
              <w:spacing w:after="0" w:line="240" w:lineRule="auto"/>
              <w:contextualSpacing/>
              <w:jc w:val="center"/>
              <w:rPr>
                <w:rFonts w:eastAsia="Times New Roman" w:cstheme="minorHAnsi"/>
                <w:color w:val="000000" w:themeColor="text1"/>
                <w:sz w:val="20"/>
                <w:szCs w:val="20"/>
                <w:lang w:eastAsia="en-GB"/>
              </w:rPr>
            </w:pPr>
            <w:r w:rsidRPr="00E06449">
              <w:rPr>
                <w:rFonts w:cstheme="minorHAnsi"/>
                <w:color w:val="000000"/>
                <w:sz w:val="20"/>
                <w:szCs w:val="20"/>
              </w:rPr>
              <w:t>0</w:t>
            </w:r>
          </w:p>
        </w:tc>
      </w:tr>
      <w:tr w:rsidR="00E06449" w:rsidRPr="006675CA" w14:paraId="40FB6024" w14:textId="77777777" w:rsidTr="00E06449">
        <w:trPr>
          <w:trHeight w:val="315"/>
        </w:trPr>
        <w:tc>
          <w:tcPr>
            <w:tcW w:w="4077" w:type="dxa"/>
            <w:shd w:val="clear" w:color="auto" w:fill="auto"/>
            <w:vAlign w:val="center"/>
          </w:tcPr>
          <w:p w14:paraId="6F2813BB" w14:textId="77777777" w:rsidR="00E06449" w:rsidRPr="006675CA" w:rsidRDefault="00E06449" w:rsidP="00E06449">
            <w:pPr>
              <w:spacing w:after="0" w:line="240" w:lineRule="auto"/>
              <w:contextualSpacing/>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Other Provider Total Activity</w:t>
            </w:r>
          </w:p>
        </w:tc>
        <w:tc>
          <w:tcPr>
            <w:tcW w:w="1304" w:type="dxa"/>
            <w:tcBorders>
              <w:top w:val="single" w:sz="4" w:space="0" w:color="auto"/>
              <w:left w:val="single" w:sz="4" w:space="0" w:color="A6A6A6"/>
              <w:bottom w:val="single" w:sz="4" w:space="0" w:color="auto"/>
              <w:right w:val="single" w:sz="4" w:space="0" w:color="auto"/>
            </w:tcBorders>
            <w:shd w:val="clear" w:color="auto" w:fill="auto"/>
            <w:noWrap/>
            <w:vAlign w:val="center"/>
          </w:tcPr>
          <w:p w14:paraId="6F89E365" w14:textId="4CEA5118" w:rsidR="00E06449" w:rsidRPr="00E06449" w:rsidRDefault="00E06449" w:rsidP="00E06449">
            <w:pPr>
              <w:spacing w:after="0" w:line="240" w:lineRule="auto"/>
              <w:contextualSpacing/>
              <w:jc w:val="center"/>
              <w:rPr>
                <w:rFonts w:eastAsia="Times New Roman" w:cstheme="minorHAnsi"/>
                <w:color w:val="000000" w:themeColor="text1"/>
                <w:sz w:val="20"/>
                <w:szCs w:val="20"/>
                <w:lang w:eastAsia="en-GB"/>
              </w:rPr>
            </w:pPr>
            <w:r w:rsidRPr="00E06449">
              <w:rPr>
                <w:rFonts w:cstheme="minorHAnsi"/>
                <w:color w:val="000000"/>
                <w:sz w:val="20"/>
                <w:szCs w:val="20"/>
              </w:rPr>
              <w:t>169</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57A47" w14:textId="5435F656" w:rsidR="00E06449" w:rsidRPr="00E06449" w:rsidRDefault="00E06449" w:rsidP="00E06449">
            <w:pPr>
              <w:spacing w:after="0" w:line="240" w:lineRule="auto"/>
              <w:contextualSpacing/>
              <w:jc w:val="center"/>
              <w:rPr>
                <w:rFonts w:eastAsia="Times New Roman" w:cstheme="minorHAnsi"/>
                <w:color w:val="000000" w:themeColor="text1"/>
                <w:sz w:val="20"/>
                <w:szCs w:val="20"/>
                <w:lang w:eastAsia="en-GB"/>
              </w:rPr>
            </w:pPr>
            <w:r w:rsidRPr="00E06449">
              <w:rPr>
                <w:rFonts w:cstheme="minorHAnsi"/>
                <w:color w:val="000000"/>
                <w:sz w:val="20"/>
                <w:szCs w:val="20"/>
              </w:rPr>
              <w:t>190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0AE83" w14:textId="35381B4F" w:rsidR="00E06449" w:rsidRPr="00E06449" w:rsidRDefault="00E06449" w:rsidP="00E06449">
            <w:pPr>
              <w:spacing w:after="0" w:line="240" w:lineRule="auto"/>
              <w:contextualSpacing/>
              <w:jc w:val="center"/>
              <w:rPr>
                <w:rFonts w:eastAsia="Times New Roman" w:cstheme="minorHAnsi"/>
                <w:color w:val="000000" w:themeColor="text1"/>
                <w:sz w:val="20"/>
                <w:szCs w:val="20"/>
                <w:lang w:eastAsia="en-GB"/>
              </w:rPr>
            </w:pPr>
            <w:r w:rsidRPr="00E06449">
              <w:rPr>
                <w:rFonts w:cstheme="minorHAnsi"/>
                <w:color w:val="000000"/>
                <w:sz w:val="20"/>
                <w:szCs w:val="20"/>
              </w:rPr>
              <w:t>201</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3C4B0" w14:textId="447C65EA" w:rsidR="00E06449" w:rsidRPr="00E06449" w:rsidRDefault="00E06449" w:rsidP="00E06449">
            <w:pPr>
              <w:spacing w:after="0" w:line="240" w:lineRule="auto"/>
              <w:contextualSpacing/>
              <w:jc w:val="center"/>
              <w:rPr>
                <w:rFonts w:eastAsia="Times New Roman" w:cstheme="minorHAnsi"/>
                <w:color w:val="000000" w:themeColor="text1"/>
                <w:sz w:val="20"/>
                <w:szCs w:val="20"/>
                <w:lang w:eastAsia="en-GB"/>
              </w:rPr>
            </w:pPr>
            <w:r w:rsidRPr="00E06449">
              <w:rPr>
                <w:rFonts w:cstheme="minorHAnsi"/>
                <w:color w:val="000000"/>
                <w:sz w:val="20"/>
                <w:szCs w:val="20"/>
              </w:rPr>
              <w:t>228</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D5965" w14:textId="735E8F08" w:rsidR="00E06449" w:rsidRPr="00E06449" w:rsidRDefault="00E06449" w:rsidP="00E06449">
            <w:pPr>
              <w:spacing w:after="0" w:line="240" w:lineRule="auto"/>
              <w:contextualSpacing/>
              <w:jc w:val="center"/>
              <w:rPr>
                <w:rFonts w:eastAsia="Times New Roman" w:cstheme="minorHAnsi"/>
                <w:color w:val="000000" w:themeColor="text1"/>
                <w:sz w:val="20"/>
                <w:szCs w:val="20"/>
                <w:lang w:eastAsia="en-GB"/>
              </w:rPr>
            </w:pPr>
            <w:r w:rsidRPr="00E06449">
              <w:rPr>
                <w:rFonts w:cstheme="minorHAnsi"/>
                <w:color w:val="000000"/>
                <w:sz w:val="20"/>
                <w:szCs w:val="20"/>
              </w:rPr>
              <w:t>213</w:t>
            </w:r>
          </w:p>
        </w:tc>
      </w:tr>
    </w:tbl>
    <w:p w14:paraId="06A426DD" w14:textId="77777777" w:rsidR="00EB7DE7" w:rsidRDefault="00EB7DE7" w:rsidP="006675CA">
      <w:pPr>
        <w:spacing w:after="0" w:line="240" w:lineRule="auto"/>
        <w:contextualSpacing/>
        <w:rPr>
          <w:rFonts w:cstheme="minorHAnsi"/>
          <w:b/>
        </w:rPr>
      </w:pPr>
    </w:p>
    <w:p w14:paraId="6273A155" w14:textId="77777777" w:rsidR="006675CA" w:rsidRDefault="006675CA" w:rsidP="006675CA">
      <w:pPr>
        <w:spacing w:after="0" w:line="240" w:lineRule="auto"/>
        <w:contextualSpacing/>
        <w:rPr>
          <w:rFonts w:cstheme="minorHAnsi"/>
          <w:b/>
        </w:rPr>
      </w:pPr>
      <w:r w:rsidRPr="00700AF0">
        <w:rPr>
          <w:rFonts w:cstheme="minorHAnsi"/>
          <w:b/>
        </w:rPr>
        <w:t>DEXA</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304"/>
        <w:gridCol w:w="1304"/>
        <w:gridCol w:w="1304"/>
        <w:gridCol w:w="1304"/>
        <w:gridCol w:w="1305"/>
      </w:tblGrid>
      <w:tr w:rsidR="00EB7DE7" w:rsidRPr="006675CA" w14:paraId="6082A4EF" w14:textId="77777777" w:rsidTr="008967CF">
        <w:trPr>
          <w:trHeight w:val="360"/>
        </w:trPr>
        <w:tc>
          <w:tcPr>
            <w:tcW w:w="4077" w:type="dxa"/>
            <w:shd w:val="clear" w:color="auto" w:fill="auto"/>
            <w:vAlign w:val="center"/>
            <w:hideMark/>
          </w:tcPr>
          <w:p w14:paraId="09012ACD" w14:textId="77777777" w:rsidR="00EB7DE7" w:rsidRPr="006675CA" w:rsidRDefault="00EB7DE7" w:rsidP="008967CF">
            <w:pPr>
              <w:spacing w:after="0" w:line="240" w:lineRule="auto"/>
              <w:contextualSpacing/>
              <w:rPr>
                <w:rFonts w:eastAsia="Times New Roman" w:cstheme="minorHAnsi"/>
                <w:b/>
                <w:bCs/>
                <w:color w:val="000000" w:themeColor="text1"/>
                <w:sz w:val="20"/>
                <w:szCs w:val="20"/>
                <w:u w:val="single"/>
                <w:lang w:eastAsia="en-GB"/>
              </w:rPr>
            </w:pPr>
          </w:p>
        </w:tc>
        <w:tc>
          <w:tcPr>
            <w:tcW w:w="1304" w:type="dxa"/>
            <w:shd w:val="clear" w:color="auto" w:fill="auto"/>
            <w:vAlign w:val="center"/>
            <w:hideMark/>
          </w:tcPr>
          <w:p w14:paraId="0CD3A3B0" w14:textId="77777777" w:rsidR="00EB7DE7" w:rsidRPr="006675CA" w:rsidRDefault="00EB7DE7" w:rsidP="008967CF">
            <w:pPr>
              <w:spacing w:after="0" w:line="240" w:lineRule="auto"/>
              <w:contextualSpacing/>
              <w:jc w:val="center"/>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2015/16</w:t>
            </w:r>
          </w:p>
        </w:tc>
        <w:tc>
          <w:tcPr>
            <w:tcW w:w="1304" w:type="dxa"/>
            <w:shd w:val="clear" w:color="auto" w:fill="auto"/>
            <w:vAlign w:val="center"/>
            <w:hideMark/>
          </w:tcPr>
          <w:p w14:paraId="2E3B46AB" w14:textId="77777777" w:rsidR="00EB7DE7" w:rsidRPr="006675CA" w:rsidRDefault="00EB7DE7" w:rsidP="008967CF">
            <w:pPr>
              <w:spacing w:after="0" w:line="240" w:lineRule="auto"/>
              <w:contextualSpacing/>
              <w:jc w:val="center"/>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2016/17</w:t>
            </w:r>
          </w:p>
        </w:tc>
        <w:tc>
          <w:tcPr>
            <w:tcW w:w="1304" w:type="dxa"/>
            <w:shd w:val="clear" w:color="auto" w:fill="auto"/>
            <w:vAlign w:val="center"/>
            <w:hideMark/>
          </w:tcPr>
          <w:p w14:paraId="3312DCA6" w14:textId="77777777" w:rsidR="00EB7DE7" w:rsidRPr="006675CA" w:rsidRDefault="00EB7DE7" w:rsidP="008967CF">
            <w:pPr>
              <w:spacing w:after="0" w:line="240" w:lineRule="auto"/>
              <w:contextualSpacing/>
              <w:jc w:val="center"/>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2017/18</w:t>
            </w:r>
          </w:p>
        </w:tc>
        <w:tc>
          <w:tcPr>
            <w:tcW w:w="1304" w:type="dxa"/>
            <w:shd w:val="clear" w:color="auto" w:fill="auto"/>
            <w:vAlign w:val="center"/>
            <w:hideMark/>
          </w:tcPr>
          <w:p w14:paraId="75A78D90" w14:textId="77777777" w:rsidR="00EB7DE7" w:rsidRPr="006675CA" w:rsidRDefault="00EB7DE7" w:rsidP="008967CF">
            <w:pPr>
              <w:spacing w:after="0" w:line="240" w:lineRule="auto"/>
              <w:contextualSpacing/>
              <w:jc w:val="center"/>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2018/19</w:t>
            </w:r>
          </w:p>
        </w:tc>
        <w:tc>
          <w:tcPr>
            <w:tcW w:w="1305" w:type="dxa"/>
            <w:shd w:val="clear" w:color="auto" w:fill="auto"/>
            <w:vAlign w:val="center"/>
            <w:hideMark/>
          </w:tcPr>
          <w:p w14:paraId="37EED588" w14:textId="77777777" w:rsidR="00EB7DE7" w:rsidRPr="006675CA" w:rsidRDefault="00EB7DE7" w:rsidP="008967CF">
            <w:pPr>
              <w:spacing w:after="0" w:line="240" w:lineRule="auto"/>
              <w:contextualSpacing/>
              <w:jc w:val="center"/>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2019/20</w:t>
            </w:r>
          </w:p>
        </w:tc>
      </w:tr>
      <w:tr w:rsidR="00EB7DE7" w:rsidRPr="006675CA" w14:paraId="3ABF348C" w14:textId="77777777" w:rsidTr="008967CF">
        <w:trPr>
          <w:trHeight w:val="315"/>
        </w:trPr>
        <w:tc>
          <w:tcPr>
            <w:tcW w:w="4077" w:type="dxa"/>
            <w:shd w:val="clear" w:color="auto" w:fill="auto"/>
            <w:vAlign w:val="center"/>
            <w:hideMark/>
          </w:tcPr>
          <w:p w14:paraId="0EFE5F8F" w14:textId="77777777" w:rsidR="00EB7DE7" w:rsidRPr="006675CA" w:rsidRDefault="00EB7DE7" w:rsidP="008967CF">
            <w:pPr>
              <w:spacing w:after="0" w:line="240" w:lineRule="auto"/>
              <w:contextualSpacing/>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In Health Total Activity</w:t>
            </w:r>
          </w:p>
        </w:tc>
        <w:tc>
          <w:tcPr>
            <w:tcW w:w="1304" w:type="dxa"/>
            <w:shd w:val="clear" w:color="auto" w:fill="auto"/>
            <w:noWrap/>
            <w:vAlign w:val="center"/>
            <w:hideMark/>
          </w:tcPr>
          <w:p w14:paraId="4FA4B8A8"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308</w:t>
            </w:r>
          </w:p>
        </w:tc>
        <w:tc>
          <w:tcPr>
            <w:tcW w:w="1304" w:type="dxa"/>
            <w:shd w:val="clear" w:color="auto" w:fill="auto"/>
            <w:noWrap/>
            <w:vAlign w:val="center"/>
            <w:hideMark/>
          </w:tcPr>
          <w:p w14:paraId="7D4CD859"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303</w:t>
            </w:r>
          </w:p>
        </w:tc>
        <w:tc>
          <w:tcPr>
            <w:tcW w:w="1304" w:type="dxa"/>
            <w:shd w:val="clear" w:color="auto" w:fill="auto"/>
            <w:noWrap/>
            <w:vAlign w:val="center"/>
            <w:hideMark/>
          </w:tcPr>
          <w:p w14:paraId="0814CDF0"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290</w:t>
            </w:r>
          </w:p>
        </w:tc>
        <w:tc>
          <w:tcPr>
            <w:tcW w:w="1304" w:type="dxa"/>
            <w:shd w:val="clear" w:color="auto" w:fill="auto"/>
            <w:noWrap/>
            <w:vAlign w:val="center"/>
            <w:hideMark/>
          </w:tcPr>
          <w:p w14:paraId="212D308E"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323</w:t>
            </w:r>
          </w:p>
        </w:tc>
        <w:tc>
          <w:tcPr>
            <w:tcW w:w="1305" w:type="dxa"/>
            <w:shd w:val="clear" w:color="auto" w:fill="auto"/>
            <w:noWrap/>
            <w:vAlign w:val="center"/>
            <w:hideMark/>
          </w:tcPr>
          <w:p w14:paraId="5DAC6C2F"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282</w:t>
            </w:r>
          </w:p>
        </w:tc>
      </w:tr>
      <w:tr w:rsidR="00EB7DE7" w:rsidRPr="006675CA" w14:paraId="67D11087" w14:textId="77777777" w:rsidTr="008967CF">
        <w:trPr>
          <w:trHeight w:val="315"/>
        </w:trPr>
        <w:tc>
          <w:tcPr>
            <w:tcW w:w="4077" w:type="dxa"/>
            <w:shd w:val="clear" w:color="auto" w:fill="auto"/>
            <w:vAlign w:val="center"/>
            <w:hideMark/>
          </w:tcPr>
          <w:p w14:paraId="544FA0CC" w14:textId="77777777" w:rsidR="00EB7DE7" w:rsidRPr="006675CA" w:rsidRDefault="00EB7DE7" w:rsidP="008967CF">
            <w:pPr>
              <w:spacing w:after="0" w:line="240" w:lineRule="auto"/>
              <w:contextualSpacing/>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Dif</w:t>
            </w:r>
            <w:r>
              <w:rPr>
                <w:rFonts w:eastAsia="Times New Roman" w:cstheme="minorHAnsi"/>
                <w:b/>
                <w:bCs/>
                <w:color w:val="000000" w:themeColor="text1"/>
                <w:sz w:val="20"/>
                <w:szCs w:val="20"/>
                <w:lang w:eastAsia="en-GB"/>
              </w:rPr>
              <w:t>ference</w:t>
            </w:r>
            <w:r w:rsidRPr="006675CA">
              <w:rPr>
                <w:rFonts w:eastAsia="Times New Roman" w:cstheme="minorHAnsi"/>
                <w:b/>
                <w:bCs/>
                <w:color w:val="000000" w:themeColor="text1"/>
                <w:sz w:val="20"/>
                <w:szCs w:val="20"/>
                <w:lang w:eastAsia="en-GB"/>
              </w:rPr>
              <w:t xml:space="preserve"> vs previous year</w:t>
            </w:r>
          </w:p>
        </w:tc>
        <w:tc>
          <w:tcPr>
            <w:tcW w:w="1304" w:type="dxa"/>
            <w:shd w:val="clear" w:color="auto" w:fill="auto"/>
            <w:noWrap/>
            <w:vAlign w:val="center"/>
            <w:hideMark/>
          </w:tcPr>
          <w:p w14:paraId="0DD885F5"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 </w:t>
            </w:r>
          </w:p>
        </w:tc>
        <w:tc>
          <w:tcPr>
            <w:tcW w:w="1304" w:type="dxa"/>
            <w:shd w:val="clear" w:color="auto" w:fill="auto"/>
            <w:noWrap/>
            <w:vAlign w:val="center"/>
            <w:hideMark/>
          </w:tcPr>
          <w:p w14:paraId="4697C54C"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-5</w:t>
            </w:r>
          </w:p>
        </w:tc>
        <w:tc>
          <w:tcPr>
            <w:tcW w:w="1304" w:type="dxa"/>
            <w:shd w:val="clear" w:color="auto" w:fill="auto"/>
            <w:noWrap/>
            <w:vAlign w:val="center"/>
            <w:hideMark/>
          </w:tcPr>
          <w:p w14:paraId="4778BE6A"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-13</w:t>
            </w:r>
          </w:p>
        </w:tc>
        <w:tc>
          <w:tcPr>
            <w:tcW w:w="1304" w:type="dxa"/>
            <w:shd w:val="clear" w:color="auto" w:fill="auto"/>
            <w:noWrap/>
            <w:vAlign w:val="center"/>
            <w:hideMark/>
          </w:tcPr>
          <w:p w14:paraId="7E2DBF1F"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33</w:t>
            </w:r>
          </w:p>
        </w:tc>
        <w:tc>
          <w:tcPr>
            <w:tcW w:w="1305" w:type="dxa"/>
            <w:shd w:val="clear" w:color="auto" w:fill="auto"/>
            <w:noWrap/>
            <w:vAlign w:val="center"/>
            <w:hideMark/>
          </w:tcPr>
          <w:p w14:paraId="3C0A0791"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-41</w:t>
            </w:r>
          </w:p>
        </w:tc>
      </w:tr>
      <w:tr w:rsidR="00EB7DE7" w:rsidRPr="006675CA" w14:paraId="289266B1" w14:textId="77777777" w:rsidTr="00E06449">
        <w:trPr>
          <w:trHeight w:val="315"/>
        </w:trPr>
        <w:tc>
          <w:tcPr>
            <w:tcW w:w="4077" w:type="dxa"/>
            <w:shd w:val="clear" w:color="auto" w:fill="auto"/>
            <w:vAlign w:val="center"/>
            <w:hideMark/>
          </w:tcPr>
          <w:p w14:paraId="5A73F67D" w14:textId="77777777" w:rsidR="00EB7DE7" w:rsidRPr="006675CA" w:rsidRDefault="00EB7DE7" w:rsidP="008967CF">
            <w:pPr>
              <w:spacing w:after="0" w:line="240" w:lineRule="auto"/>
              <w:contextualSpacing/>
              <w:rPr>
                <w:rFonts w:eastAsia="Times New Roman" w:cstheme="minorHAnsi"/>
                <w:b/>
                <w:bCs/>
                <w:color w:val="000000" w:themeColor="text1"/>
                <w:sz w:val="20"/>
                <w:szCs w:val="20"/>
                <w:lang w:eastAsia="en-GB"/>
              </w:rPr>
            </w:pPr>
            <w:r w:rsidRPr="006675CA">
              <w:rPr>
                <w:rFonts w:eastAsia="Times New Roman" w:cstheme="minorHAnsi"/>
                <w:b/>
                <w:bCs/>
                <w:color w:val="000000" w:themeColor="text1"/>
                <w:sz w:val="20"/>
                <w:szCs w:val="20"/>
                <w:lang w:eastAsia="en-GB"/>
              </w:rPr>
              <w:t xml:space="preserve">% </w:t>
            </w:r>
            <w:r>
              <w:rPr>
                <w:rFonts w:eastAsia="Times New Roman" w:cstheme="minorHAnsi"/>
                <w:b/>
                <w:bCs/>
                <w:color w:val="000000" w:themeColor="text1"/>
                <w:sz w:val="20"/>
                <w:szCs w:val="20"/>
                <w:lang w:eastAsia="en-GB"/>
              </w:rPr>
              <w:t xml:space="preserve">change </w:t>
            </w:r>
            <w:r w:rsidRPr="006675CA">
              <w:rPr>
                <w:rFonts w:eastAsia="Times New Roman" w:cstheme="minorHAnsi"/>
                <w:b/>
                <w:bCs/>
                <w:color w:val="000000" w:themeColor="text1"/>
                <w:sz w:val="20"/>
                <w:szCs w:val="20"/>
                <w:lang w:eastAsia="en-GB"/>
              </w:rPr>
              <w:t>vs previous year</w:t>
            </w:r>
          </w:p>
        </w:tc>
        <w:tc>
          <w:tcPr>
            <w:tcW w:w="1304" w:type="dxa"/>
            <w:shd w:val="clear" w:color="000000" w:fill="F2F2F2"/>
            <w:noWrap/>
            <w:vAlign w:val="center"/>
            <w:hideMark/>
          </w:tcPr>
          <w:p w14:paraId="2DC40562" w14:textId="77777777" w:rsidR="00EB7DE7" w:rsidRPr="007F0469" w:rsidRDefault="00EB7DE7" w:rsidP="008967CF">
            <w:pPr>
              <w:spacing w:after="0" w:line="240" w:lineRule="auto"/>
              <w:contextualSpacing/>
              <w:jc w:val="center"/>
              <w:rPr>
                <w:rFonts w:eastAsia="Times New Roman" w:cstheme="minorHAnsi"/>
                <w:color w:val="000000"/>
                <w:lang w:eastAsia="en-GB"/>
              </w:rPr>
            </w:pPr>
            <w:r w:rsidRPr="007F0469">
              <w:rPr>
                <w:rFonts w:eastAsia="Times New Roman" w:cstheme="minorHAnsi"/>
                <w:color w:val="000000"/>
                <w:lang w:eastAsia="en-GB"/>
              </w:rPr>
              <w:t> </w:t>
            </w:r>
          </w:p>
        </w:tc>
        <w:tc>
          <w:tcPr>
            <w:tcW w:w="1304" w:type="dxa"/>
            <w:shd w:val="clear" w:color="auto" w:fill="FFFFFF" w:themeFill="background1"/>
            <w:noWrap/>
            <w:vAlign w:val="center"/>
            <w:hideMark/>
          </w:tcPr>
          <w:p w14:paraId="540F50A0" w14:textId="77777777" w:rsidR="00EB7DE7" w:rsidRPr="00E06449" w:rsidRDefault="00EB7DE7" w:rsidP="008967CF">
            <w:pPr>
              <w:spacing w:after="0" w:line="240" w:lineRule="auto"/>
              <w:contextualSpacing/>
              <w:jc w:val="center"/>
              <w:rPr>
                <w:rFonts w:eastAsia="Times New Roman" w:cstheme="minorHAnsi"/>
                <w:color w:val="000000" w:themeColor="text1"/>
                <w:lang w:eastAsia="en-GB"/>
              </w:rPr>
            </w:pPr>
            <w:r w:rsidRPr="00E06449">
              <w:rPr>
                <w:rFonts w:eastAsia="Times New Roman" w:cstheme="minorHAnsi"/>
                <w:color w:val="000000" w:themeColor="text1"/>
                <w:lang w:eastAsia="en-GB"/>
              </w:rPr>
              <w:t>-1.62%</w:t>
            </w:r>
          </w:p>
        </w:tc>
        <w:tc>
          <w:tcPr>
            <w:tcW w:w="1304" w:type="dxa"/>
            <w:shd w:val="clear" w:color="auto" w:fill="FFFFFF" w:themeFill="background1"/>
            <w:noWrap/>
            <w:vAlign w:val="center"/>
            <w:hideMark/>
          </w:tcPr>
          <w:p w14:paraId="6A94E3A9" w14:textId="77777777" w:rsidR="00EB7DE7" w:rsidRPr="00E06449" w:rsidRDefault="00EB7DE7" w:rsidP="008967CF">
            <w:pPr>
              <w:spacing w:after="0" w:line="240" w:lineRule="auto"/>
              <w:contextualSpacing/>
              <w:jc w:val="center"/>
              <w:rPr>
                <w:rFonts w:eastAsia="Times New Roman" w:cstheme="minorHAnsi"/>
                <w:color w:val="000000" w:themeColor="text1"/>
                <w:lang w:eastAsia="en-GB"/>
              </w:rPr>
            </w:pPr>
            <w:r w:rsidRPr="00E06449">
              <w:rPr>
                <w:rFonts w:eastAsia="Times New Roman" w:cstheme="minorHAnsi"/>
                <w:color w:val="000000" w:themeColor="text1"/>
                <w:lang w:eastAsia="en-GB"/>
              </w:rPr>
              <w:t>-4.29%</w:t>
            </w:r>
          </w:p>
        </w:tc>
        <w:tc>
          <w:tcPr>
            <w:tcW w:w="1304" w:type="dxa"/>
            <w:shd w:val="clear" w:color="auto" w:fill="FFFFFF" w:themeFill="background1"/>
            <w:noWrap/>
            <w:vAlign w:val="center"/>
            <w:hideMark/>
          </w:tcPr>
          <w:p w14:paraId="6CEECCEB" w14:textId="77777777" w:rsidR="00EB7DE7" w:rsidRPr="00E06449" w:rsidRDefault="00EB7DE7" w:rsidP="008967CF">
            <w:pPr>
              <w:spacing w:after="0" w:line="240" w:lineRule="auto"/>
              <w:contextualSpacing/>
              <w:jc w:val="center"/>
              <w:rPr>
                <w:rFonts w:eastAsia="Times New Roman" w:cstheme="minorHAnsi"/>
                <w:color w:val="000000" w:themeColor="text1"/>
                <w:lang w:eastAsia="en-GB"/>
              </w:rPr>
            </w:pPr>
            <w:r w:rsidRPr="00E06449">
              <w:rPr>
                <w:rFonts w:eastAsia="Times New Roman" w:cstheme="minorHAnsi"/>
                <w:color w:val="000000" w:themeColor="text1"/>
                <w:lang w:eastAsia="en-GB"/>
              </w:rPr>
              <w:t>11.38%</w:t>
            </w:r>
          </w:p>
        </w:tc>
        <w:tc>
          <w:tcPr>
            <w:tcW w:w="1305" w:type="dxa"/>
            <w:shd w:val="clear" w:color="auto" w:fill="FFFFFF" w:themeFill="background1"/>
            <w:noWrap/>
            <w:vAlign w:val="center"/>
            <w:hideMark/>
          </w:tcPr>
          <w:p w14:paraId="20383D3F" w14:textId="77777777" w:rsidR="00EB7DE7" w:rsidRPr="00E06449" w:rsidRDefault="00EB7DE7" w:rsidP="008967CF">
            <w:pPr>
              <w:spacing w:after="0" w:line="240" w:lineRule="auto"/>
              <w:contextualSpacing/>
              <w:jc w:val="center"/>
              <w:rPr>
                <w:rFonts w:eastAsia="Times New Roman" w:cstheme="minorHAnsi"/>
                <w:color w:val="000000" w:themeColor="text1"/>
                <w:lang w:eastAsia="en-GB"/>
              </w:rPr>
            </w:pPr>
            <w:r w:rsidRPr="00E06449">
              <w:rPr>
                <w:rFonts w:eastAsia="Times New Roman" w:cstheme="minorHAnsi"/>
                <w:color w:val="000000" w:themeColor="text1"/>
                <w:lang w:eastAsia="en-GB"/>
              </w:rPr>
              <w:t>-12.69%</w:t>
            </w:r>
          </w:p>
        </w:tc>
      </w:tr>
      <w:tr w:rsidR="00EB7DE7" w:rsidRPr="006675CA" w14:paraId="562BC2F0" w14:textId="77777777" w:rsidTr="008967CF">
        <w:trPr>
          <w:trHeight w:val="315"/>
        </w:trPr>
        <w:tc>
          <w:tcPr>
            <w:tcW w:w="10598" w:type="dxa"/>
            <w:gridSpan w:val="6"/>
            <w:tcBorders>
              <w:bottom w:val="single" w:sz="4" w:space="0" w:color="auto"/>
            </w:tcBorders>
            <w:shd w:val="clear" w:color="auto" w:fill="auto"/>
            <w:vAlign w:val="center"/>
          </w:tcPr>
          <w:p w14:paraId="137A4EBF" w14:textId="23BDB1B4" w:rsidR="00EB7DE7" w:rsidRPr="006675CA" w:rsidRDefault="00EB7DE7" w:rsidP="008967CF">
            <w:pPr>
              <w:spacing w:after="0" w:line="240" w:lineRule="auto"/>
              <w:contextualSpacing/>
              <w:jc w:val="center"/>
              <w:rPr>
                <w:rFonts w:eastAsia="Times New Roman" w:cstheme="minorHAnsi"/>
                <w:i/>
                <w:color w:val="000000" w:themeColor="text1"/>
                <w:sz w:val="20"/>
                <w:szCs w:val="20"/>
                <w:lang w:eastAsia="en-GB"/>
              </w:rPr>
            </w:pPr>
            <w:r w:rsidRPr="006675CA">
              <w:rPr>
                <w:rFonts w:eastAsia="Times New Roman" w:cstheme="minorHAnsi"/>
                <w:i/>
                <w:color w:val="000000" w:themeColor="text1"/>
                <w:sz w:val="20"/>
                <w:szCs w:val="20"/>
                <w:lang w:eastAsia="en-GB"/>
              </w:rPr>
              <w:t xml:space="preserve">Overall, </w:t>
            </w:r>
            <w:r>
              <w:rPr>
                <w:rFonts w:eastAsia="Times New Roman" w:cstheme="minorHAnsi"/>
                <w:i/>
                <w:color w:val="000000" w:themeColor="text1"/>
                <w:sz w:val="20"/>
                <w:szCs w:val="20"/>
                <w:lang w:eastAsia="en-GB"/>
              </w:rPr>
              <w:t>from 2015/16 to 20</w:t>
            </w:r>
            <w:r w:rsidR="00E06449">
              <w:rPr>
                <w:rFonts w:eastAsia="Times New Roman" w:cstheme="minorHAnsi"/>
                <w:i/>
                <w:color w:val="000000" w:themeColor="text1"/>
                <w:sz w:val="20"/>
                <w:szCs w:val="20"/>
                <w:lang w:eastAsia="en-GB"/>
              </w:rPr>
              <w:t>19/20, there has been a 13% decrease in the DEXA scans</w:t>
            </w:r>
            <w:r>
              <w:rPr>
                <w:rFonts w:eastAsia="Times New Roman" w:cstheme="minorHAnsi"/>
                <w:i/>
                <w:color w:val="000000" w:themeColor="text1"/>
                <w:sz w:val="20"/>
                <w:szCs w:val="20"/>
                <w:lang w:eastAsia="en-GB"/>
              </w:rPr>
              <w:t xml:space="preserve"> undertaken by InHealth</w:t>
            </w:r>
          </w:p>
        </w:tc>
      </w:tr>
      <w:tr w:rsidR="00EB7DE7" w:rsidRPr="006675CA" w14:paraId="6F623D57" w14:textId="77777777" w:rsidTr="008967CF">
        <w:trPr>
          <w:trHeight w:val="315"/>
        </w:trPr>
        <w:tc>
          <w:tcPr>
            <w:tcW w:w="105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E24AF3" w14:textId="77777777" w:rsidR="00EB7DE7" w:rsidRPr="006675CA" w:rsidRDefault="00EB7DE7" w:rsidP="008967CF">
            <w:pPr>
              <w:spacing w:after="0" w:line="240" w:lineRule="auto"/>
              <w:contextualSpacing/>
              <w:jc w:val="center"/>
              <w:rPr>
                <w:rFonts w:eastAsia="Times New Roman" w:cstheme="minorHAnsi"/>
                <w:color w:val="000000" w:themeColor="text1"/>
                <w:sz w:val="20"/>
                <w:szCs w:val="20"/>
                <w:lang w:eastAsia="en-GB"/>
              </w:rPr>
            </w:pPr>
          </w:p>
        </w:tc>
      </w:tr>
      <w:tr w:rsidR="007322A5" w:rsidRPr="006675CA" w14:paraId="0C2E6E54" w14:textId="77777777" w:rsidTr="007322A5">
        <w:trPr>
          <w:trHeight w:val="315"/>
        </w:trPr>
        <w:tc>
          <w:tcPr>
            <w:tcW w:w="4077" w:type="dxa"/>
            <w:tcBorders>
              <w:top w:val="single" w:sz="4" w:space="0" w:color="auto"/>
            </w:tcBorders>
            <w:shd w:val="clear" w:color="auto" w:fill="auto"/>
            <w:vAlign w:val="center"/>
          </w:tcPr>
          <w:p w14:paraId="26D8367B" w14:textId="77777777" w:rsidR="007322A5" w:rsidRPr="006675CA" w:rsidRDefault="007322A5" w:rsidP="007322A5">
            <w:pPr>
              <w:spacing w:after="0" w:line="240" w:lineRule="auto"/>
              <w:contextualSpacing/>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UHS Total Activity</w:t>
            </w:r>
          </w:p>
        </w:tc>
        <w:tc>
          <w:tcPr>
            <w:tcW w:w="1304" w:type="dxa"/>
            <w:tcBorders>
              <w:top w:val="single" w:sz="4" w:space="0" w:color="auto"/>
              <w:left w:val="single" w:sz="4" w:space="0" w:color="A6A6A6"/>
              <w:bottom w:val="single" w:sz="4" w:space="0" w:color="auto"/>
              <w:right w:val="single" w:sz="4" w:space="0" w:color="auto"/>
            </w:tcBorders>
            <w:shd w:val="clear" w:color="auto" w:fill="auto"/>
            <w:noWrap/>
            <w:vAlign w:val="center"/>
          </w:tcPr>
          <w:p w14:paraId="4FAEDA89" w14:textId="008668E5" w:rsidR="007322A5" w:rsidRPr="007322A5" w:rsidRDefault="007322A5" w:rsidP="007322A5">
            <w:pPr>
              <w:spacing w:after="0" w:line="240" w:lineRule="auto"/>
              <w:contextualSpacing/>
              <w:jc w:val="center"/>
              <w:rPr>
                <w:rFonts w:cstheme="minorHAnsi"/>
                <w:color w:val="000000"/>
                <w:sz w:val="20"/>
                <w:szCs w:val="20"/>
              </w:rPr>
            </w:pPr>
            <w:r w:rsidRPr="007322A5">
              <w:rPr>
                <w:rFonts w:cstheme="minorHAnsi"/>
                <w:color w:val="000000"/>
                <w:sz w:val="20"/>
                <w:szCs w:val="20"/>
              </w:rPr>
              <w:t>1,392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2890C" w14:textId="3F72DB6E" w:rsidR="007322A5" w:rsidRPr="007322A5" w:rsidRDefault="007322A5" w:rsidP="007322A5">
            <w:pPr>
              <w:spacing w:after="0" w:line="240" w:lineRule="auto"/>
              <w:contextualSpacing/>
              <w:jc w:val="center"/>
              <w:rPr>
                <w:rFonts w:cstheme="minorHAnsi"/>
                <w:color w:val="000000"/>
                <w:sz w:val="20"/>
                <w:szCs w:val="20"/>
              </w:rPr>
            </w:pPr>
            <w:r w:rsidRPr="007322A5">
              <w:rPr>
                <w:rFonts w:cstheme="minorHAnsi"/>
                <w:color w:val="000000"/>
                <w:sz w:val="20"/>
                <w:szCs w:val="20"/>
              </w:rPr>
              <w:t>1,452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04B94" w14:textId="3458D451" w:rsidR="007322A5" w:rsidRPr="007322A5" w:rsidRDefault="007322A5" w:rsidP="007322A5">
            <w:pPr>
              <w:spacing w:after="0" w:line="240" w:lineRule="auto"/>
              <w:contextualSpacing/>
              <w:jc w:val="center"/>
              <w:rPr>
                <w:rFonts w:cstheme="minorHAnsi"/>
                <w:color w:val="000000"/>
                <w:sz w:val="20"/>
                <w:szCs w:val="20"/>
              </w:rPr>
            </w:pPr>
            <w:r w:rsidRPr="007322A5">
              <w:rPr>
                <w:rFonts w:cstheme="minorHAnsi"/>
                <w:color w:val="000000"/>
                <w:sz w:val="20"/>
                <w:szCs w:val="20"/>
              </w:rPr>
              <w:t>1,354</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04BC7" w14:textId="4ED6060F" w:rsidR="007322A5" w:rsidRPr="007322A5" w:rsidRDefault="007322A5" w:rsidP="007322A5">
            <w:pPr>
              <w:spacing w:after="0" w:line="240" w:lineRule="auto"/>
              <w:contextualSpacing/>
              <w:jc w:val="center"/>
              <w:rPr>
                <w:rFonts w:cstheme="minorHAnsi"/>
                <w:color w:val="000000"/>
                <w:sz w:val="20"/>
                <w:szCs w:val="20"/>
              </w:rPr>
            </w:pPr>
            <w:r w:rsidRPr="007322A5">
              <w:rPr>
                <w:rFonts w:cstheme="minorHAnsi"/>
                <w:color w:val="000000"/>
                <w:sz w:val="20"/>
                <w:szCs w:val="20"/>
              </w:rPr>
              <w:t>1,383</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7E810" w14:textId="03B3571A" w:rsidR="007322A5" w:rsidRPr="007322A5" w:rsidRDefault="007322A5" w:rsidP="007322A5">
            <w:pPr>
              <w:spacing w:after="0" w:line="240" w:lineRule="auto"/>
              <w:contextualSpacing/>
              <w:jc w:val="center"/>
              <w:rPr>
                <w:rFonts w:cstheme="minorHAnsi"/>
                <w:color w:val="000000"/>
                <w:sz w:val="20"/>
                <w:szCs w:val="20"/>
              </w:rPr>
            </w:pPr>
            <w:r w:rsidRPr="007322A5">
              <w:rPr>
                <w:rFonts w:cstheme="minorHAnsi"/>
                <w:color w:val="000000"/>
                <w:sz w:val="20"/>
                <w:szCs w:val="20"/>
              </w:rPr>
              <w:t>1,642</w:t>
            </w:r>
          </w:p>
        </w:tc>
      </w:tr>
      <w:tr w:rsidR="007322A5" w:rsidRPr="006675CA" w14:paraId="340F3E56" w14:textId="77777777" w:rsidTr="007322A5">
        <w:trPr>
          <w:trHeight w:val="315"/>
        </w:trPr>
        <w:tc>
          <w:tcPr>
            <w:tcW w:w="4077" w:type="dxa"/>
            <w:shd w:val="clear" w:color="auto" w:fill="auto"/>
            <w:vAlign w:val="center"/>
          </w:tcPr>
          <w:p w14:paraId="6C4B4F0D" w14:textId="77777777" w:rsidR="007322A5" w:rsidRPr="006675CA" w:rsidRDefault="007322A5" w:rsidP="007322A5">
            <w:pPr>
              <w:spacing w:after="0" w:line="240" w:lineRule="auto"/>
              <w:contextualSpacing/>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Solent Total Activity</w:t>
            </w:r>
          </w:p>
        </w:tc>
        <w:tc>
          <w:tcPr>
            <w:tcW w:w="1304" w:type="dxa"/>
            <w:tcBorders>
              <w:top w:val="single" w:sz="4" w:space="0" w:color="auto"/>
              <w:left w:val="single" w:sz="4" w:space="0" w:color="A6A6A6"/>
              <w:bottom w:val="single" w:sz="4" w:space="0" w:color="auto"/>
              <w:right w:val="single" w:sz="4" w:space="0" w:color="auto"/>
            </w:tcBorders>
            <w:shd w:val="clear" w:color="auto" w:fill="auto"/>
            <w:noWrap/>
            <w:vAlign w:val="center"/>
          </w:tcPr>
          <w:p w14:paraId="20248AF4" w14:textId="40655E35" w:rsidR="007322A5" w:rsidRPr="007322A5" w:rsidRDefault="007322A5" w:rsidP="007322A5">
            <w:pPr>
              <w:spacing w:after="0" w:line="240" w:lineRule="auto"/>
              <w:contextualSpacing/>
              <w:jc w:val="center"/>
              <w:rPr>
                <w:rFonts w:cstheme="minorHAnsi"/>
                <w:color w:val="000000"/>
                <w:sz w:val="20"/>
                <w:szCs w:val="20"/>
              </w:rPr>
            </w:pPr>
            <w:r w:rsidRPr="007322A5">
              <w:rPr>
                <w:rFonts w:cstheme="minorHAnsi"/>
                <w:color w:val="000000"/>
                <w:sz w:val="20"/>
                <w:szCs w:val="20"/>
              </w:rPr>
              <w:t>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37567" w14:textId="0BDC00FB" w:rsidR="007322A5" w:rsidRPr="007322A5" w:rsidRDefault="007322A5" w:rsidP="007322A5">
            <w:pPr>
              <w:spacing w:after="0" w:line="240" w:lineRule="auto"/>
              <w:contextualSpacing/>
              <w:jc w:val="center"/>
              <w:rPr>
                <w:rFonts w:cstheme="minorHAnsi"/>
                <w:color w:val="000000"/>
                <w:sz w:val="20"/>
                <w:szCs w:val="20"/>
              </w:rPr>
            </w:pPr>
            <w:r w:rsidRPr="007322A5">
              <w:rPr>
                <w:rFonts w:cstheme="minorHAnsi"/>
                <w:color w:val="000000"/>
                <w:sz w:val="20"/>
                <w:szCs w:val="20"/>
              </w:rPr>
              <w:t>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BC42F" w14:textId="121E5BFA" w:rsidR="007322A5" w:rsidRPr="007322A5" w:rsidRDefault="007322A5" w:rsidP="007322A5">
            <w:pPr>
              <w:spacing w:after="0" w:line="240" w:lineRule="auto"/>
              <w:contextualSpacing/>
              <w:jc w:val="center"/>
              <w:rPr>
                <w:rFonts w:cstheme="minorHAnsi"/>
                <w:color w:val="000000"/>
                <w:sz w:val="20"/>
                <w:szCs w:val="20"/>
              </w:rPr>
            </w:pPr>
            <w:r w:rsidRPr="007322A5">
              <w:rPr>
                <w:rFonts w:cstheme="minorHAnsi"/>
                <w:color w:val="000000"/>
                <w:sz w:val="20"/>
                <w:szCs w:val="20"/>
              </w:rPr>
              <w:t>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24220" w14:textId="31BB418A" w:rsidR="007322A5" w:rsidRPr="007322A5" w:rsidRDefault="007322A5" w:rsidP="007322A5">
            <w:pPr>
              <w:spacing w:after="0" w:line="240" w:lineRule="auto"/>
              <w:contextualSpacing/>
              <w:jc w:val="center"/>
              <w:rPr>
                <w:rFonts w:cstheme="minorHAnsi"/>
                <w:color w:val="000000"/>
                <w:sz w:val="20"/>
                <w:szCs w:val="20"/>
              </w:rPr>
            </w:pPr>
            <w:r w:rsidRPr="007322A5">
              <w:rPr>
                <w:rFonts w:cstheme="minorHAnsi"/>
                <w:color w:val="000000"/>
                <w:sz w:val="20"/>
                <w:szCs w:val="20"/>
              </w:rPr>
              <w:t>0</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F93A0" w14:textId="77CE1C0D" w:rsidR="007322A5" w:rsidRPr="007322A5" w:rsidRDefault="007322A5" w:rsidP="007322A5">
            <w:pPr>
              <w:spacing w:after="0" w:line="240" w:lineRule="auto"/>
              <w:contextualSpacing/>
              <w:jc w:val="center"/>
              <w:rPr>
                <w:rFonts w:cstheme="minorHAnsi"/>
                <w:color w:val="000000"/>
                <w:sz w:val="20"/>
                <w:szCs w:val="20"/>
              </w:rPr>
            </w:pPr>
            <w:r w:rsidRPr="007322A5">
              <w:rPr>
                <w:rFonts w:cstheme="minorHAnsi"/>
                <w:color w:val="000000"/>
                <w:sz w:val="20"/>
                <w:szCs w:val="20"/>
              </w:rPr>
              <w:t>0</w:t>
            </w:r>
          </w:p>
        </w:tc>
      </w:tr>
      <w:tr w:rsidR="007322A5" w:rsidRPr="006675CA" w14:paraId="12161A82" w14:textId="77777777" w:rsidTr="007322A5">
        <w:trPr>
          <w:trHeight w:val="315"/>
        </w:trPr>
        <w:tc>
          <w:tcPr>
            <w:tcW w:w="4077" w:type="dxa"/>
            <w:shd w:val="clear" w:color="auto" w:fill="auto"/>
            <w:vAlign w:val="center"/>
          </w:tcPr>
          <w:p w14:paraId="47D74195" w14:textId="77777777" w:rsidR="007322A5" w:rsidRPr="006675CA" w:rsidRDefault="007322A5" w:rsidP="007322A5">
            <w:pPr>
              <w:spacing w:after="0" w:line="240" w:lineRule="auto"/>
              <w:contextualSpacing/>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Care UK STC Total Activity</w:t>
            </w:r>
          </w:p>
        </w:tc>
        <w:tc>
          <w:tcPr>
            <w:tcW w:w="1304" w:type="dxa"/>
            <w:tcBorders>
              <w:top w:val="single" w:sz="4" w:space="0" w:color="auto"/>
              <w:left w:val="single" w:sz="4" w:space="0" w:color="A6A6A6"/>
              <w:bottom w:val="single" w:sz="4" w:space="0" w:color="auto"/>
              <w:right w:val="single" w:sz="4" w:space="0" w:color="auto"/>
            </w:tcBorders>
            <w:shd w:val="clear" w:color="auto" w:fill="auto"/>
            <w:noWrap/>
            <w:vAlign w:val="center"/>
          </w:tcPr>
          <w:p w14:paraId="27FBD0E4" w14:textId="09D20074" w:rsidR="007322A5" w:rsidRPr="007322A5" w:rsidRDefault="007322A5" w:rsidP="007322A5">
            <w:pPr>
              <w:spacing w:after="0" w:line="240" w:lineRule="auto"/>
              <w:contextualSpacing/>
              <w:jc w:val="center"/>
              <w:rPr>
                <w:rFonts w:cstheme="minorHAnsi"/>
                <w:color w:val="000000"/>
                <w:sz w:val="20"/>
                <w:szCs w:val="20"/>
              </w:rPr>
            </w:pPr>
            <w:r w:rsidRPr="007322A5">
              <w:rPr>
                <w:rFonts w:cstheme="minorHAnsi"/>
                <w:color w:val="000000"/>
                <w:sz w:val="20"/>
                <w:szCs w:val="20"/>
              </w:rPr>
              <w:t>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9738E" w14:textId="58680E33" w:rsidR="007322A5" w:rsidRPr="007322A5" w:rsidRDefault="007322A5" w:rsidP="007322A5">
            <w:pPr>
              <w:spacing w:after="0" w:line="240" w:lineRule="auto"/>
              <w:contextualSpacing/>
              <w:jc w:val="center"/>
              <w:rPr>
                <w:rFonts w:cstheme="minorHAnsi"/>
                <w:color w:val="000000"/>
                <w:sz w:val="20"/>
                <w:szCs w:val="20"/>
              </w:rPr>
            </w:pPr>
            <w:r w:rsidRPr="007322A5">
              <w:rPr>
                <w:rFonts w:cstheme="minorHAnsi"/>
                <w:color w:val="000000"/>
                <w:sz w:val="20"/>
                <w:szCs w:val="20"/>
              </w:rPr>
              <w:t>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2AEF4" w14:textId="2AF58CE0" w:rsidR="007322A5" w:rsidRPr="007322A5" w:rsidRDefault="007322A5" w:rsidP="007322A5">
            <w:pPr>
              <w:spacing w:after="0" w:line="240" w:lineRule="auto"/>
              <w:contextualSpacing/>
              <w:jc w:val="center"/>
              <w:rPr>
                <w:rFonts w:cstheme="minorHAnsi"/>
                <w:color w:val="000000"/>
                <w:sz w:val="20"/>
                <w:szCs w:val="20"/>
              </w:rPr>
            </w:pPr>
            <w:r w:rsidRPr="007322A5">
              <w:rPr>
                <w:rFonts w:cstheme="minorHAnsi"/>
                <w:color w:val="000000"/>
                <w:sz w:val="20"/>
                <w:szCs w:val="20"/>
              </w:rPr>
              <w:t>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EB277" w14:textId="292A38C1" w:rsidR="007322A5" w:rsidRPr="007322A5" w:rsidRDefault="007322A5" w:rsidP="007322A5">
            <w:pPr>
              <w:spacing w:after="0" w:line="240" w:lineRule="auto"/>
              <w:contextualSpacing/>
              <w:jc w:val="center"/>
              <w:rPr>
                <w:rFonts w:cstheme="minorHAnsi"/>
                <w:color w:val="000000"/>
                <w:sz w:val="20"/>
                <w:szCs w:val="20"/>
              </w:rPr>
            </w:pPr>
            <w:r w:rsidRPr="007322A5">
              <w:rPr>
                <w:rFonts w:cstheme="minorHAnsi"/>
                <w:color w:val="000000"/>
                <w:sz w:val="20"/>
                <w:szCs w:val="20"/>
              </w:rPr>
              <w:t>0</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15852" w14:textId="53D0139C" w:rsidR="007322A5" w:rsidRPr="007322A5" w:rsidRDefault="007322A5" w:rsidP="007322A5">
            <w:pPr>
              <w:spacing w:after="0" w:line="240" w:lineRule="auto"/>
              <w:contextualSpacing/>
              <w:jc w:val="center"/>
              <w:rPr>
                <w:rFonts w:cstheme="minorHAnsi"/>
                <w:color w:val="000000"/>
                <w:sz w:val="20"/>
                <w:szCs w:val="20"/>
              </w:rPr>
            </w:pPr>
            <w:r w:rsidRPr="007322A5">
              <w:rPr>
                <w:rFonts w:cstheme="minorHAnsi"/>
                <w:color w:val="000000"/>
                <w:sz w:val="20"/>
                <w:szCs w:val="20"/>
              </w:rPr>
              <w:t>0</w:t>
            </w:r>
          </w:p>
        </w:tc>
      </w:tr>
      <w:tr w:rsidR="007322A5" w:rsidRPr="006675CA" w14:paraId="691DAD81" w14:textId="77777777" w:rsidTr="007322A5">
        <w:trPr>
          <w:trHeight w:val="315"/>
        </w:trPr>
        <w:tc>
          <w:tcPr>
            <w:tcW w:w="4077" w:type="dxa"/>
            <w:shd w:val="clear" w:color="auto" w:fill="auto"/>
            <w:vAlign w:val="center"/>
          </w:tcPr>
          <w:p w14:paraId="7503A319" w14:textId="77777777" w:rsidR="007322A5" w:rsidRPr="006675CA" w:rsidRDefault="007322A5" w:rsidP="007322A5">
            <w:pPr>
              <w:spacing w:after="0" w:line="240" w:lineRule="auto"/>
              <w:contextualSpacing/>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Other Provider Total Activity</w:t>
            </w:r>
          </w:p>
        </w:tc>
        <w:tc>
          <w:tcPr>
            <w:tcW w:w="1304" w:type="dxa"/>
            <w:tcBorders>
              <w:top w:val="single" w:sz="4" w:space="0" w:color="auto"/>
              <w:left w:val="single" w:sz="4" w:space="0" w:color="A6A6A6"/>
              <w:bottom w:val="single" w:sz="4" w:space="0" w:color="auto"/>
              <w:right w:val="single" w:sz="4" w:space="0" w:color="auto"/>
            </w:tcBorders>
            <w:shd w:val="clear" w:color="auto" w:fill="auto"/>
            <w:noWrap/>
            <w:vAlign w:val="center"/>
          </w:tcPr>
          <w:p w14:paraId="2794E6ED" w14:textId="02E5A88A" w:rsidR="007322A5" w:rsidRPr="007322A5" w:rsidRDefault="007322A5" w:rsidP="007322A5">
            <w:pPr>
              <w:spacing w:after="0" w:line="240" w:lineRule="auto"/>
              <w:contextualSpacing/>
              <w:jc w:val="center"/>
              <w:rPr>
                <w:rFonts w:cstheme="minorHAnsi"/>
                <w:color w:val="000000"/>
                <w:sz w:val="20"/>
                <w:szCs w:val="20"/>
              </w:rPr>
            </w:pPr>
            <w:r w:rsidRPr="007322A5">
              <w:rPr>
                <w:rFonts w:cstheme="minorHAnsi"/>
                <w:color w:val="000000"/>
                <w:sz w:val="20"/>
                <w:szCs w:val="20"/>
              </w:rPr>
              <w:t>19</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BDADB" w14:textId="3F7F5AB3" w:rsidR="007322A5" w:rsidRPr="007322A5" w:rsidRDefault="007322A5" w:rsidP="007322A5">
            <w:pPr>
              <w:spacing w:after="0" w:line="240" w:lineRule="auto"/>
              <w:contextualSpacing/>
              <w:jc w:val="center"/>
              <w:rPr>
                <w:rFonts w:cstheme="minorHAnsi"/>
                <w:color w:val="000000"/>
                <w:sz w:val="20"/>
                <w:szCs w:val="20"/>
              </w:rPr>
            </w:pPr>
            <w:r w:rsidRPr="007322A5">
              <w:rPr>
                <w:rFonts w:cstheme="minorHAnsi"/>
                <w:color w:val="000000"/>
                <w:sz w:val="20"/>
                <w:szCs w:val="20"/>
              </w:rPr>
              <w:t>26</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7C559" w14:textId="13C75116" w:rsidR="007322A5" w:rsidRPr="007322A5" w:rsidRDefault="007322A5" w:rsidP="007322A5">
            <w:pPr>
              <w:spacing w:after="0" w:line="240" w:lineRule="auto"/>
              <w:contextualSpacing/>
              <w:jc w:val="center"/>
              <w:rPr>
                <w:rFonts w:cstheme="minorHAnsi"/>
                <w:color w:val="000000"/>
                <w:sz w:val="20"/>
                <w:szCs w:val="20"/>
              </w:rPr>
            </w:pPr>
            <w:r w:rsidRPr="007322A5">
              <w:rPr>
                <w:rFonts w:cstheme="minorHAnsi"/>
                <w:color w:val="000000"/>
                <w:sz w:val="20"/>
                <w:szCs w:val="20"/>
              </w:rPr>
              <w:t>26</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AAD3E" w14:textId="607E6B1E" w:rsidR="007322A5" w:rsidRPr="007322A5" w:rsidRDefault="007322A5" w:rsidP="007322A5">
            <w:pPr>
              <w:spacing w:after="0" w:line="240" w:lineRule="auto"/>
              <w:contextualSpacing/>
              <w:jc w:val="center"/>
              <w:rPr>
                <w:rFonts w:cstheme="minorHAnsi"/>
                <w:color w:val="000000"/>
                <w:sz w:val="20"/>
                <w:szCs w:val="20"/>
              </w:rPr>
            </w:pPr>
            <w:r w:rsidRPr="007322A5">
              <w:rPr>
                <w:rFonts w:cstheme="minorHAnsi"/>
                <w:color w:val="000000"/>
                <w:sz w:val="20"/>
                <w:szCs w:val="20"/>
              </w:rPr>
              <w:t>15</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4E90E" w14:textId="6CE04B97" w:rsidR="007322A5" w:rsidRPr="007322A5" w:rsidRDefault="007322A5" w:rsidP="007322A5">
            <w:pPr>
              <w:spacing w:after="0" w:line="240" w:lineRule="auto"/>
              <w:contextualSpacing/>
              <w:jc w:val="center"/>
              <w:rPr>
                <w:rFonts w:cstheme="minorHAnsi"/>
                <w:color w:val="000000"/>
                <w:sz w:val="20"/>
                <w:szCs w:val="20"/>
              </w:rPr>
            </w:pPr>
            <w:r w:rsidRPr="007322A5">
              <w:rPr>
                <w:rFonts w:cstheme="minorHAnsi"/>
                <w:color w:val="000000"/>
                <w:sz w:val="20"/>
                <w:szCs w:val="20"/>
              </w:rPr>
              <w:t>20</w:t>
            </w:r>
          </w:p>
        </w:tc>
      </w:tr>
    </w:tbl>
    <w:p w14:paraId="32960B86" w14:textId="77777777" w:rsidR="00EB7DE7" w:rsidRDefault="00EB7DE7" w:rsidP="007F0469">
      <w:pPr>
        <w:spacing w:after="0" w:line="240" w:lineRule="auto"/>
        <w:rPr>
          <w:rFonts w:cstheme="minorHAnsi"/>
          <w:b/>
        </w:rPr>
      </w:pPr>
    </w:p>
    <w:p w14:paraId="689D73A3" w14:textId="65D49C34" w:rsidR="00F8643C" w:rsidRDefault="00F8643C" w:rsidP="007F0469">
      <w:pPr>
        <w:spacing w:after="0" w:line="240" w:lineRule="auto"/>
        <w:rPr>
          <w:rFonts w:cstheme="minorHAnsi"/>
          <w:b/>
        </w:rPr>
      </w:pPr>
      <w:r>
        <w:rPr>
          <w:rFonts w:cstheme="minorHAnsi"/>
          <w:b/>
        </w:rPr>
        <w:t>X-Ray</w:t>
      </w:r>
    </w:p>
    <w:p w14:paraId="3F6E898C" w14:textId="645FA311" w:rsidR="00F8643C" w:rsidRDefault="00F8643C" w:rsidP="00F8643C">
      <w:r>
        <w:t>It is not possible to provide a breakdown of X-ray activity across different providers as this is not centrally monitored. However, our data from In Health shows a very low level of activity with just 54 x-rays being done by In Health in 2017/18, reducing to 49 in 2018/19 and c. 21 in 2019/20.</w:t>
      </w:r>
    </w:p>
    <w:p w14:paraId="4144EF78" w14:textId="77777777" w:rsidR="00EB7DE7" w:rsidRDefault="00EB7DE7" w:rsidP="00182FE7">
      <w:pPr>
        <w:spacing w:after="0" w:line="240" w:lineRule="auto"/>
        <w:rPr>
          <w:rFonts w:cstheme="minorHAnsi"/>
          <w:b/>
        </w:rPr>
      </w:pPr>
      <w:r>
        <w:rPr>
          <w:rFonts w:cstheme="minorHAnsi"/>
          <w:b/>
        </w:rPr>
        <w:t>Why is the contract ending?</w:t>
      </w:r>
    </w:p>
    <w:p w14:paraId="0CA395A1" w14:textId="77777777" w:rsidR="00EB7DE7" w:rsidRDefault="00EB7DE7" w:rsidP="00182FE7">
      <w:pPr>
        <w:spacing w:after="0" w:line="240" w:lineRule="auto"/>
        <w:contextualSpacing/>
      </w:pPr>
      <w:r>
        <w:t>There are a number of reasons why the contract is ending, including:</w:t>
      </w:r>
    </w:p>
    <w:p w14:paraId="7AAFFC74" w14:textId="77777777" w:rsidR="00182FE7" w:rsidRDefault="00EB7DE7" w:rsidP="00182FE7">
      <w:pPr>
        <w:pStyle w:val="ListParagraph"/>
        <w:numPr>
          <w:ilvl w:val="0"/>
          <w:numId w:val="6"/>
        </w:numPr>
        <w:spacing w:after="0" w:line="240" w:lineRule="auto"/>
        <w:ind w:left="426"/>
      </w:pPr>
      <w:r>
        <w:t>There has been a reduction year on year in activity via this contract. As a result, in 2018 InHealth noted they were considering serving notice.</w:t>
      </w:r>
    </w:p>
    <w:p w14:paraId="4C74EC78" w14:textId="77777777" w:rsidR="00182FE7" w:rsidRDefault="00EB7DE7" w:rsidP="00182FE7">
      <w:pPr>
        <w:pStyle w:val="ListParagraph"/>
        <w:numPr>
          <w:ilvl w:val="0"/>
          <w:numId w:val="6"/>
        </w:numPr>
        <w:spacing w:after="0" w:line="240" w:lineRule="auto"/>
        <w:ind w:left="426"/>
      </w:pPr>
      <w:r>
        <w:t>Concerns have been raised about patients undergoing unnecessary diagnostics, and having diagnostics repeated</w:t>
      </w:r>
      <w:r w:rsidR="00182FE7">
        <w:t xml:space="preserve">. SCCCG previously identified duplication within the service, which led to the decommissioning of Spinal MRIs and Head MRIs. </w:t>
      </w:r>
    </w:p>
    <w:p w14:paraId="3CA09B06" w14:textId="77777777" w:rsidR="00182FE7" w:rsidRDefault="00182FE7" w:rsidP="00182FE7">
      <w:pPr>
        <w:pStyle w:val="ListParagraph"/>
        <w:numPr>
          <w:ilvl w:val="0"/>
          <w:numId w:val="6"/>
        </w:numPr>
        <w:spacing w:after="0" w:line="240" w:lineRule="auto"/>
        <w:ind w:left="426"/>
      </w:pPr>
      <w:r>
        <w:t>Primary care have also raised concerns about the quality of diagnostic reports.</w:t>
      </w:r>
      <w:r w:rsidR="00EB7DE7">
        <w:t xml:space="preserve"> </w:t>
      </w:r>
      <w:r>
        <w:t xml:space="preserve">In 2017 an audit was undertaken which showed that: </w:t>
      </w:r>
    </w:p>
    <w:p w14:paraId="78681070" w14:textId="77777777" w:rsidR="00182FE7" w:rsidRDefault="00182FE7" w:rsidP="00182FE7">
      <w:pPr>
        <w:pStyle w:val="ListParagraph"/>
        <w:numPr>
          <w:ilvl w:val="1"/>
          <w:numId w:val="6"/>
        </w:numPr>
        <w:spacing w:after="0" w:line="240" w:lineRule="auto"/>
      </w:pPr>
      <w:r>
        <w:t>20% of reports failed to answer the clinical question posed by the primary care clinician</w:t>
      </w:r>
    </w:p>
    <w:p w14:paraId="4B4BA208" w14:textId="77777777" w:rsidR="00EB7DE7" w:rsidRDefault="00182FE7" w:rsidP="00182FE7">
      <w:pPr>
        <w:pStyle w:val="ListParagraph"/>
        <w:numPr>
          <w:ilvl w:val="1"/>
          <w:numId w:val="6"/>
        </w:numPr>
        <w:spacing w:after="0" w:line="240" w:lineRule="auto"/>
      </w:pPr>
      <w:r>
        <w:t xml:space="preserve">25% failed to help the clinician with managing the patient’s onward referral.  </w:t>
      </w:r>
    </w:p>
    <w:p w14:paraId="2F93E4CC" w14:textId="77777777" w:rsidR="00EB7DE7" w:rsidRDefault="00EB7DE7" w:rsidP="00EB7DE7">
      <w:pPr>
        <w:spacing w:line="240" w:lineRule="auto"/>
        <w:contextualSpacing/>
      </w:pPr>
    </w:p>
    <w:p w14:paraId="57BD426B" w14:textId="77777777" w:rsidR="001C4FC1" w:rsidRDefault="001C4FC1" w:rsidP="007F0469">
      <w:pPr>
        <w:spacing w:after="0" w:line="240" w:lineRule="auto"/>
        <w:rPr>
          <w:rFonts w:cstheme="minorHAnsi"/>
          <w:b/>
        </w:rPr>
      </w:pPr>
      <w:r w:rsidRPr="00700AF0">
        <w:rPr>
          <w:rFonts w:cstheme="minorHAnsi"/>
          <w:b/>
        </w:rPr>
        <w:t>Has there been a decline in the number of referrals?</w:t>
      </w:r>
    </w:p>
    <w:p w14:paraId="12A9FAAF" w14:textId="514EFBEC" w:rsidR="00700AF0" w:rsidRDefault="00700AF0" w:rsidP="00700AF0">
      <w:pPr>
        <w:spacing w:after="0" w:line="240" w:lineRule="auto"/>
        <w:contextualSpacing/>
        <w:rPr>
          <w:rFonts w:cstheme="minorHAnsi"/>
        </w:rPr>
      </w:pPr>
      <w:r w:rsidRPr="007F0469">
        <w:rPr>
          <w:rFonts w:cstheme="minorHAnsi"/>
        </w:rPr>
        <w:t>There has been a stable or downward trend in activity carried out by InHealth o</w:t>
      </w:r>
      <w:r w:rsidR="00EC3126">
        <w:rPr>
          <w:rFonts w:cstheme="minorHAnsi"/>
        </w:rPr>
        <w:t>ver the past 5 years, as shown above</w:t>
      </w:r>
      <w:r w:rsidRPr="007F0469">
        <w:rPr>
          <w:rFonts w:cstheme="minorHAnsi"/>
        </w:rPr>
        <w:t>.</w:t>
      </w:r>
      <w:r w:rsidR="00EC3126">
        <w:rPr>
          <w:rFonts w:cstheme="minorHAnsi"/>
        </w:rPr>
        <w:t xml:space="preserve"> Excluding X-</w:t>
      </w:r>
      <w:r w:rsidR="00003919">
        <w:rPr>
          <w:rFonts w:cstheme="minorHAnsi"/>
        </w:rPr>
        <w:t>rays we</w:t>
      </w:r>
      <w:r w:rsidR="00EC3126">
        <w:rPr>
          <w:rFonts w:cstheme="minorHAnsi"/>
        </w:rPr>
        <w:t xml:space="preserve"> can see a total decrease in activity </w:t>
      </w:r>
      <w:r w:rsidR="00EC3126" w:rsidRPr="00003919">
        <w:rPr>
          <w:rFonts w:cstheme="minorHAnsi"/>
        </w:rPr>
        <w:t xml:space="preserve">of </w:t>
      </w:r>
      <w:r w:rsidR="004325CD" w:rsidRPr="00003919">
        <w:rPr>
          <w:rFonts w:cstheme="minorHAnsi"/>
        </w:rPr>
        <w:t>44</w:t>
      </w:r>
      <w:r w:rsidR="00EC3126" w:rsidRPr="00003919">
        <w:rPr>
          <w:rFonts w:cstheme="minorHAnsi"/>
        </w:rPr>
        <w:t>%</w:t>
      </w:r>
      <w:r w:rsidR="00EC3126">
        <w:rPr>
          <w:rFonts w:cstheme="minorHAnsi"/>
        </w:rPr>
        <w:t xml:space="preserve"> between 2015/16 and 2019/20.</w:t>
      </w:r>
    </w:p>
    <w:p w14:paraId="1E02D010" w14:textId="77777777" w:rsidR="00A30CCF" w:rsidRDefault="00A30CCF" w:rsidP="007F0469">
      <w:pPr>
        <w:spacing w:after="0" w:line="240" w:lineRule="auto"/>
        <w:rPr>
          <w:rFonts w:cstheme="minorHAnsi"/>
          <w:b/>
        </w:rPr>
      </w:pPr>
    </w:p>
    <w:p w14:paraId="6CF4AA09" w14:textId="77777777" w:rsidR="001C4FC1" w:rsidRPr="00700AF0" w:rsidRDefault="00182FE7" w:rsidP="007F0469">
      <w:pPr>
        <w:spacing w:after="0" w:line="240" w:lineRule="auto"/>
        <w:rPr>
          <w:rFonts w:cstheme="minorHAnsi"/>
          <w:b/>
        </w:rPr>
      </w:pPr>
      <w:r>
        <w:rPr>
          <w:rFonts w:cstheme="minorHAnsi"/>
          <w:b/>
        </w:rPr>
        <w:t>I</w:t>
      </w:r>
      <w:r w:rsidR="001C4FC1" w:rsidRPr="00700AF0">
        <w:rPr>
          <w:rFonts w:cstheme="minorHAnsi"/>
          <w:b/>
        </w:rPr>
        <w:t>s there duplication of diagnostics</w:t>
      </w:r>
      <w:r>
        <w:rPr>
          <w:rFonts w:cstheme="minorHAnsi"/>
          <w:b/>
        </w:rPr>
        <w:t xml:space="preserve"> – and why</w:t>
      </w:r>
      <w:r w:rsidR="001C4FC1" w:rsidRPr="00700AF0">
        <w:rPr>
          <w:rFonts w:cstheme="minorHAnsi"/>
          <w:b/>
        </w:rPr>
        <w:t>?</w:t>
      </w:r>
    </w:p>
    <w:p w14:paraId="012C0C44" w14:textId="77777777" w:rsidR="001C4FC1" w:rsidRDefault="00182FE7" w:rsidP="007F0469">
      <w:pPr>
        <w:spacing w:after="0" w:line="240" w:lineRule="auto"/>
        <w:rPr>
          <w:rFonts w:cstheme="minorHAnsi"/>
        </w:rPr>
      </w:pPr>
      <w:r>
        <w:rPr>
          <w:rFonts w:cstheme="minorHAnsi"/>
        </w:rPr>
        <w:t>I</w:t>
      </w:r>
      <w:r w:rsidR="002A21A6">
        <w:rPr>
          <w:rFonts w:cstheme="minorHAnsi"/>
        </w:rPr>
        <w:t xml:space="preserve">t is difficult to ascertain the overall scale of duplication. However, </w:t>
      </w:r>
      <w:r>
        <w:rPr>
          <w:rFonts w:cstheme="minorHAnsi"/>
        </w:rPr>
        <w:t>feedback from primary and secondary care, and patients themselves,</w:t>
      </w:r>
      <w:r w:rsidR="002A21A6">
        <w:rPr>
          <w:rFonts w:cstheme="minorHAnsi"/>
        </w:rPr>
        <w:t xml:space="preserve"> suggests that when patients are referred onto another provider for treatment, they often repeat diagnostic tests. This </w:t>
      </w:r>
      <w:r>
        <w:rPr>
          <w:rFonts w:cstheme="minorHAnsi"/>
        </w:rPr>
        <w:t xml:space="preserve">can </w:t>
      </w:r>
      <w:r w:rsidR="002A21A6">
        <w:rPr>
          <w:rFonts w:cstheme="minorHAnsi"/>
        </w:rPr>
        <w:t xml:space="preserve">be due to concerns over the quality of the initial tests, or because providers want to check for changes in a patient’s condition. </w:t>
      </w:r>
    </w:p>
    <w:p w14:paraId="11DF3CE3" w14:textId="77777777" w:rsidR="00182FE7" w:rsidRDefault="00182FE7" w:rsidP="00182FE7">
      <w:pPr>
        <w:spacing w:after="0" w:line="240" w:lineRule="auto"/>
      </w:pPr>
    </w:p>
    <w:p w14:paraId="3C2F7C13" w14:textId="4239FCFA" w:rsidR="00182FE7" w:rsidRDefault="00182FE7" w:rsidP="00182FE7">
      <w:pPr>
        <w:spacing w:after="0" w:line="240" w:lineRule="auto"/>
      </w:pPr>
      <w:r>
        <w:rPr>
          <w:rFonts w:cstheme="minorHAnsi"/>
        </w:rPr>
        <w:lastRenderedPageBreak/>
        <w:t xml:space="preserve">Some specific clinical audits </w:t>
      </w:r>
      <w:r>
        <w:t>have been undertaken to investigate the appropriateness of GPDA diagnostics. For example, in 2017 data was extracted to identify the number of diagnostics that are repeated at another provider. The data examined the number of patients who underwent repeat diagnostics within 180 days at a different provider between April 2016 and March 2017. During this time 80 patients had MRIs repeated at another provider.  This led to the c</w:t>
      </w:r>
      <w:r w:rsidR="00F8643C">
        <w:t>essation of Head and Spinal MRI</w:t>
      </w:r>
      <w:r>
        <w:t xml:space="preserve">s. </w:t>
      </w:r>
    </w:p>
    <w:p w14:paraId="5E235E08" w14:textId="77777777" w:rsidR="00003919" w:rsidRPr="00182FE7" w:rsidRDefault="00003919" w:rsidP="00182FE7">
      <w:pPr>
        <w:spacing w:after="0" w:line="240" w:lineRule="auto"/>
        <w:rPr>
          <w:rFonts w:cstheme="minorHAnsi"/>
          <w:b/>
        </w:rPr>
      </w:pPr>
    </w:p>
    <w:p w14:paraId="04B7BF4F" w14:textId="693AD3E9" w:rsidR="001C4FC1" w:rsidRDefault="001C4FC1" w:rsidP="007F0469">
      <w:pPr>
        <w:spacing w:after="0" w:line="240" w:lineRule="auto"/>
        <w:rPr>
          <w:rFonts w:cstheme="minorHAnsi"/>
          <w:b/>
        </w:rPr>
      </w:pPr>
      <w:r w:rsidRPr="00700AF0">
        <w:rPr>
          <w:rFonts w:cstheme="minorHAnsi"/>
          <w:b/>
        </w:rPr>
        <w:t>What will be the route to access these diagnostics in future?</w:t>
      </w:r>
    </w:p>
    <w:p w14:paraId="10E0815E" w14:textId="24B475AA" w:rsidR="003C6096" w:rsidRPr="003C6096" w:rsidRDefault="003C6096" w:rsidP="007F0469">
      <w:pPr>
        <w:spacing w:after="0" w:line="240" w:lineRule="auto"/>
        <w:rPr>
          <w:rFonts w:cstheme="minorHAnsi"/>
        </w:rPr>
      </w:pPr>
      <w:r>
        <w:rPr>
          <w:rFonts w:cstheme="minorHAnsi"/>
        </w:rPr>
        <w:t>Please see routes of where to send diagnostics to other providers:</w:t>
      </w:r>
    </w:p>
    <w:p w14:paraId="4E4A8E6C" w14:textId="77777777" w:rsidR="00DE2D06" w:rsidRDefault="00DE2D06" w:rsidP="00DE2D06">
      <w:pPr>
        <w:pStyle w:val="ListParagraph"/>
        <w:numPr>
          <w:ilvl w:val="0"/>
          <w:numId w:val="9"/>
        </w:numPr>
        <w:spacing w:after="0" w:line="240" w:lineRule="auto"/>
        <w:contextualSpacing w:val="0"/>
      </w:pPr>
      <w:r>
        <w:t>Echocardiograms can be requested via the Bitterne Solent Cardiology service on e-RS</w:t>
      </w:r>
    </w:p>
    <w:p w14:paraId="1D469389" w14:textId="77777777" w:rsidR="00DE2D06" w:rsidRDefault="00DE2D06" w:rsidP="00DE2D06">
      <w:pPr>
        <w:pStyle w:val="ListParagraph"/>
        <w:numPr>
          <w:ilvl w:val="0"/>
          <w:numId w:val="9"/>
        </w:numPr>
        <w:spacing w:after="0" w:line="240" w:lineRule="auto"/>
        <w:contextualSpacing w:val="0"/>
      </w:pPr>
      <w:r>
        <w:t xml:space="preserve">Bone Density (DEXA) scans can be requested via UHS on e-RS </w:t>
      </w:r>
    </w:p>
    <w:p w14:paraId="3796C17E" w14:textId="77777777" w:rsidR="00DE2D06" w:rsidRDefault="00DE2D06" w:rsidP="00DE2D06">
      <w:pPr>
        <w:pStyle w:val="ListParagraph"/>
        <w:numPr>
          <w:ilvl w:val="0"/>
          <w:numId w:val="9"/>
        </w:numPr>
        <w:spacing w:after="0" w:line="240" w:lineRule="auto"/>
        <w:contextualSpacing w:val="0"/>
      </w:pPr>
      <w:r>
        <w:t>Ultrasound and X-Ray can be requested via ICE with the Urgent Treatment Centre at RSH accepting walk ins patients also</w:t>
      </w:r>
    </w:p>
    <w:p w14:paraId="2D89C6A2" w14:textId="4DB65256" w:rsidR="00DE2D06" w:rsidRDefault="00DE2D06" w:rsidP="00DE2D06">
      <w:pPr>
        <w:pStyle w:val="ListParagraph"/>
        <w:numPr>
          <w:ilvl w:val="0"/>
          <w:numId w:val="9"/>
        </w:numPr>
        <w:spacing w:after="0" w:line="240" w:lineRule="auto"/>
        <w:contextualSpacing w:val="0"/>
      </w:pPr>
      <w:r>
        <w:t>MRI access via the Solent MSK pathway</w:t>
      </w:r>
    </w:p>
    <w:p w14:paraId="2B38454F" w14:textId="77777777" w:rsidR="003C6096" w:rsidRPr="00700AF0" w:rsidRDefault="003C6096" w:rsidP="007F0469">
      <w:pPr>
        <w:spacing w:after="0" w:line="240" w:lineRule="auto"/>
        <w:rPr>
          <w:rFonts w:cstheme="minorHAnsi"/>
          <w:b/>
        </w:rPr>
      </w:pPr>
    </w:p>
    <w:p w14:paraId="7E928D56" w14:textId="77777777" w:rsidR="003C6096" w:rsidRDefault="003C6096" w:rsidP="003C6096">
      <w:pPr>
        <w:rPr>
          <w:color w:val="000000"/>
        </w:rPr>
      </w:pPr>
      <w:r>
        <w:rPr>
          <w:color w:val="000000"/>
        </w:rPr>
        <w:t>There is also a wider piece of work across the Southampton and South West Hampshire system on Community Diagnostic Hubs which may increase diagnostic capacity and improve pathways in the medium term; we will update you on that as it progresses.</w:t>
      </w:r>
    </w:p>
    <w:p w14:paraId="09509F32" w14:textId="77777777" w:rsidR="001C4FC1" w:rsidRPr="00700AF0" w:rsidRDefault="001C4FC1" w:rsidP="007F0469">
      <w:pPr>
        <w:spacing w:after="0" w:line="240" w:lineRule="auto"/>
        <w:rPr>
          <w:rFonts w:cstheme="minorHAnsi"/>
          <w:b/>
        </w:rPr>
      </w:pPr>
      <w:r w:rsidRPr="00700AF0">
        <w:rPr>
          <w:rFonts w:cstheme="minorHAnsi"/>
          <w:b/>
        </w:rPr>
        <w:t>How does this simplify/ improve things for primary care and patients?</w:t>
      </w:r>
    </w:p>
    <w:p w14:paraId="74F80665" w14:textId="2F6E1301" w:rsidR="00EC3126" w:rsidRPr="007F0469" w:rsidRDefault="00803AFE">
      <w:pPr>
        <w:spacing w:after="0" w:line="240" w:lineRule="auto"/>
        <w:rPr>
          <w:rFonts w:cstheme="minorHAnsi"/>
        </w:rPr>
      </w:pPr>
      <w:r>
        <w:rPr>
          <w:rFonts w:cstheme="minorHAnsi"/>
        </w:rPr>
        <w:t xml:space="preserve">We want to make sure that patients are not having duplicate diagnostic tests, as this can result in delays and a poor patient experience. It also results in increased costs to the system – and increased work for GPs if, as feedback has suggested, some diagnostic reports are not providing primary care with the information they need. </w:t>
      </w:r>
      <w:r w:rsidR="00423A5C">
        <w:rPr>
          <w:rFonts w:cstheme="minorHAnsi"/>
        </w:rPr>
        <w:t xml:space="preserve">If we are able to streamline access to diagnostics, we hope this will help to deliver a consistent experience so we can better manage diagnostic provision in the city. </w:t>
      </w:r>
    </w:p>
    <w:sectPr w:rsidR="00EC3126" w:rsidRPr="007F0469" w:rsidSect="007F04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BD7"/>
    <w:multiLevelType w:val="hybridMultilevel"/>
    <w:tmpl w:val="53E4DC9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nsid w:val="0A615394"/>
    <w:multiLevelType w:val="hybridMultilevel"/>
    <w:tmpl w:val="7BBA2CB8"/>
    <w:lvl w:ilvl="0" w:tplc="FA8C8820">
      <w:numFmt w:val="bullet"/>
      <w:lvlText w:val=""/>
      <w:lvlJc w:val="left"/>
      <w:pPr>
        <w:ind w:left="744" w:hanging="384"/>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C4627"/>
    <w:multiLevelType w:val="hybridMultilevel"/>
    <w:tmpl w:val="17AA3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830900"/>
    <w:multiLevelType w:val="hybridMultilevel"/>
    <w:tmpl w:val="0506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290C73"/>
    <w:multiLevelType w:val="hybridMultilevel"/>
    <w:tmpl w:val="7646EB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55A6279"/>
    <w:multiLevelType w:val="hybridMultilevel"/>
    <w:tmpl w:val="98743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A263BB3"/>
    <w:multiLevelType w:val="hybridMultilevel"/>
    <w:tmpl w:val="1D6E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806A2C"/>
    <w:multiLevelType w:val="hybridMultilevel"/>
    <w:tmpl w:val="CFE29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860C68"/>
    <w:multiLevelType w:val="hybridMultilevel"/>
    <w:tmpl w:val="69AED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6"/>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F9"/>
    <w:rsid w:val="00003919"/>
    <w:rsid w:val="000840D0"/>
    <w:rsid w:val="00182FE7"/>
    <w:rsid w:val="00184E16"/>
    <w:rsid w:val="001911C2"/>
    <w:rsid w:val="001C4FC1"/>
    <w:rsid w:val="00261049"/>
    <w:rsid w:val="00266487"/>
    <w:rsid w:val="002A21A6"/>
    <w:rsid w:val="003C6096"/>
    <w:rsid w:val="003F3E27"/>
    <w:rsid w:val="00423A5C"/>
    <w:rsid w:val="00431030"/>
    <w:rsid w:val="004325CD"/>
    <w:rsid w:val="004A4305"/>
    <w:rsid w:val="00592D74"/>
    <w:rsid w:val="006048BC"/>
    <w:rsid w:val="00620F21"/>
    <w:rsid w:val="00664930"/>
    <w:rsid w:val="006675CA"/>
    <w:rsid w:val="00692471"/>
    <w:rsid w:val="006C522D"/>
    <w:rsid w:val="00700AF0"/>
    <w:rsid w:val="007025CC"/>
    <w:rsid w:val="007322A5"/>
    <w:rsid w:val="00751B11"/>
    <w:rsid w:val="007D22F9"/>
    <w:rsid w:val="007F0469"/>
    <w:rsid w:val="00802997"/>
    <w:rsid w:val="00803AFE"/>
    <w:rsid w:val="00835540"/>
    <w:rsid w:val="0086226E"/>
    <w:rsid w:val="0087007B"/>
    <w:rsid w:val="0089524B"/>
    <w:rsid w:val="0091414F"/>
    <w:rsid w:val="009D598B"/>
    <w:rsid w:val="00A25866"/>
    <w:rsid w:val="00A30CCF"/>
    <w:rsid w:val="00A426D9"/>
    <w:rsid w:val="00BA1E07"/>
    <w:rsid w:val="00BC3A7D"/>
    <w:rsid w:val="00BC4E09"/>
    <w:rsid w:val="00C01BB5"/>
    <w:rsid w:val="00C8028D"/>
    <w:rsid w:val="00D24F83"/>
    <w:rsid w:val="00D5577B"/>
    <w:rsid w:val="00DB48A9"/>
    <w:rsid w:val="00DE2D06"/>
    <w:rsid w:val="00E06449"/>
    <w:rsid w:val="00E15689"/>
    <w:rsid w:val="00E8520B"/>
    <w:rsid w:val="00EA28C4"/>
    <w:rsid w:val="00EB7DE7"/>
    <w:rsid w:val="00EC3126"/>
    <w:rsid w:val="00F64FFF"/>
    <w:rsid w:val="00F8643C"/>
    <w:rsid w:val="00FF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C4FC1"/>
    <w:pPr>
      <w:ind w:left="720"/>
      <w:contextualSpacing/>
    </w:pPr>
  </w:style>
  <w:style w:type="paragraph" w:styleId="PlainText">
    <w:name w:val="Plain Text"/>
    <w:basedOn w:val="Normal"/>
    <w:link w:val="PlainTextChar"/>
    <w:uiPriority w:val="99"/>
    <w:semiHidden/>
    <w:unhideWhenUsed/>
    <w:rsid w:val="008700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007B"/>
    <w:rPr>
      <w:rFonts w:ascii="Calibri" w:hAnsi="Calibri"/>
      <w:szCs w:val="21"/>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6675CA"/>
  </w:style>
  <w:style w:type="character" w:styleId="CommentReference">
    <w:name w:val="annotation reference"/>
    <w:basedOn w:val="DefaultParagraphFont"/>
    <w:uiPriority w:val="99"/>
    <w:semiHidden/>
    <w:unhideWhenUsed/>
    <w:rsid w:val="00700AF0"/>
    <w:rPr>
      <w:sz w:val="16"/>
      <w:szCs w:val="16"/>
    </w:rPr>
  </w:style>
  <w:style w:type="paragraph" w:styleId="CommentText">
    <w:name w:val="annotation text"/>
    <w:basedOn w:val="Normal"/>
    <w:link w:val="CommentTextChar"/>
    <w:uiPriority w:val="99"/>
    <w:semiHidden/>
    <w:unhideWhenUsed/>
    <w:rsid w:val="00700AF0"/>
    <w:pPr>
      <w:spacing w:line="240" w:lineRule="auto"/>
    </w:pPr>
    <w:rPr>
      <w:sz w:val="20"/>
      <w:szCs w:val="20"/>
    </w:rPr>
  </w:style>
  <w:style w:type="character" w:customStyle="1" w:styleId="CommentTextChar">
    <w:name w:val="Comment Text Char"/>
    <w:basedOn w:val="DefaultParagraphFont"/>
    <w:link w:val="CommentText"/>
    <w:uiPriority w:val="99"/>
    <w:semiHidden/>
    <w:rsid w:val="00700AF0"/>
    <w:rPr>
      <w:sz w:val="20"/>
      <w:szCs w:val="20"/>
    </w:rPr>
  </w:style>
  <w:style w:type="paragraph" w:styleId="CommentSubject">
    <w:name w:val="annotation subject"/>
    <w:basedOn w:val="CommentText"/>
    <w:next w:val="CommentText"/>
    <w:link w:val="CommentSubjectChar"/>
    <w:uiPriority w:val="99"/>
    <w:semiHidden/>
    <w:unhideWhenUsed/>
    <w:rsid w:val="00700AF0"/>
    <w:rPr>
      <w:b/>
      <w:bCs/>
    </w:rPr>
  </w:style>
  <w:style w:type="character" w:customStyle="1" w:styleId="CommentSubjectChar">
    <w:name w:val="Comment Subject Char"/>
    <w:basedOn w:val="CommentTextChar"/>
    <w:link w:val="CommentSubject"/>
    <w:uiPriority w:val="99"/>
    <w:semiHidden/>
    <w:rsid w:val="00700AF0"/>
    <w:rPr>
      <w:b/>
      <w:bCs/>
      <w:sz w:val="20"/>
      <w:szCs w:val="20"/>
    </w:rPr>
  </w:style>
  <w:style w:type="paragraph" w:styleId="BalloonText">
    <w:name w:val="Balloon Text"/>
    <w:basedOn w:val="Normal"/>
    <w:link w:val="BalloonTextChar"/>
    <w:uiPriority w:val="99"/>
    <w:semiHidden/>
    <w:unhideWhenUsed/>
    <w:rsid w:val="0070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C4FC1"/>
    <w:pPr>
      <w:ind w:left="720"/>
      <w:contextualSpacing/>
    </w:pPr>
  </w:style>
  <w:style w:type="paragraph" w:styleId="PlainText">
    <w:name w:val="Plain Text"/>
    <w:basedOn w:val="Normal"/>
    <w:link w:val="PlainTextChar"/>
    <w:uiPriority w:val="99"/>
    <w:semiHidden/>
    <w:unhideWhenUsed/>
    <w:rsid w:val="008700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007B"/>
    <w:rPr>
      <w:rFonts w:ascii="Calibri" w:hAnsi="Calibri"/>
      <w:szCs w:val="21"/>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6675CA"/>
  </w:style>
  <w:style w:type="character" w:styleId="CommentReference">
    <w:name w:val="annotation reference"/>
    <w:basedOn w:val="DefaultParagraphFont"/>
    <w:uiPriority w:val="99"/>
    <w:semiHidden/>
    <w:unhideWhenUsed/>
    <w:rsid w:val="00700AF0"/>
    <w:rPr>
      <w:sz w:val="16"/>
      <w:szCs w:val="16"/>
    </w:rPr>
  </w:style>
  <w:style w:type="paragraph" w:styleId="CommentText">
    <w:name w:val="annotation text"/>
    <w:basedOn w:val="Normal"/>
    <w:link w:val="CommentTextChar"/>
    <w:uiPriority w:val="99"/>
    <w:semiHidden/>
    <w:unhideWhenUsed/>
    <w:rsid w:val="00700AF0"/>
    <w:pPr>
      <w:spacing w:line="240" w:lineRule="auto"/>
    </w:pPr>
    <w:rPr>
      <w:sz w:val="20"/>
      <w:szCs w:val="20"/>
    </w:rPr>
  </w:style>
  <w:style w:type="character" w:customStyle="1" w:styleId="CommentTextChar">
    <w:name w:val="Comment Text Char"/>
    <w:basedOn w:val="DefaultParagraphFont"/>
    <w:link w:val="CommentText"/>
    <w:uiPriority w:val="99"/>
    <w:semiHidden/>
    <w:rsid w:val="00700AF0"/>
    <w:rPr>
      <w:sz w:val="20"/>
      <w:szCs w:val="20"/>
    </w:rPr>
  </w:style>
  <w:style w:type="paragraph" w:styleId="CommentSubject">
    <w:name w:val="annotation subject"/>
    <w:basedOn w:val="CommentText"/>
    <w:next w:val="CommentText"/>
    <w:link w:val="CommentSubjectChar"/>
    <w:uiPriority w:val="99"/>
    <w:semiHidden/>
    <w:unhideWhenUsed/>
    <w:rsid w:val="00700AF0"/>
    <w:rPr>
      <w:b/>
      <w:bCs/>
    </w:rPr>
  </w:style>
  <w:style w:type="character" w:customStyle="1" w:styleId="CommentSubjectChar">
    <w:name w:val="Comment Subject Char"/>
    <w:basedOn w:val="CommentTextChar"/>
    <w:link w:val="CommentSubject"/>
    <w:uiPriority w:val="99"/>
    <w:semiHidden/>
    <w:rsid w:val="00700AF0"/>
    <w:rPr>
      <w:b/>
      <w:bCs/>
      <w:sz w:val="20"/>
      <w:szCs w:val="20"/>
    </w:rPr>
  </w:style>
  <w:style w:type="paragraph" w:styleId="BalloonText">
    <w:name w:val="Balloon Text"/>
    <w:basedOn w:val="Normal"/>
    <w:link w:val="BalloonTextChar"/>
    <w:uiPriority w:val="99"/>
    <w:semiHidden/>
    <w:unhideWhenUsed/>
    <w:rsid w:val="0070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6681">
      <w:bodyDiv w:val="1"/>
      <w:marLeft w:val="0"/>
      <w:marRight w:val="0"/>
      <w:marTop w:val="0"/>
      <w:marBottom w:val="0"/>
      <w:divBdr>
        <w:top w:val="none" w:sz="0" w:space="0" w:color="auto"/>
        <w:left w:val="none" w:sz="0" w:space="0" w:color="auto"/>
        <w:bottom w:val="none" w:sz="0" w:space="0" w:color="auto"/>
        <w:right w:val="none" w:sz="0" w:space="0" w:color="auto"/>
      </w:divBdr>
    </w:div>
    <w:div w:id="673920946">
      <w:bodyDiv w:val="1"/>
      <w:marLeft w:val="0"/>
      <w:marRight w:val="0"/>
      <w:marTop w:val="0"/>
      <w:marBottom w:val="0"/>
      <w:divBdr>
        <w:top w:val="none" w:sz="0" w:space="0" w:color="auto"/>
        <w:left w:val="none" w:sz="0" w:space="0" w:color="auto"/>
        <w:bottom w:val="none" w:sz="0" w:space="0" w:color="auto"/>
        <w:right w:val="none" w:sz="0" w:space="0" w:color="auto"/>
      </w:divBdr>
    </w:div>
    <w:div w:id="1062825179">
      <w:bodyDiv w:val="1"/>
      <w:marLeft w:val="0"/>
      <w:marRight w:val="0"/>
      <w:marTop w:val="0"/>
      <w:marBottom w:val="0"/>
      <w:divBdr>
        <w:top w:val="none" w:sz="0" w:space="0" w:color="auto"/>
        <w:left w:val="none" w:sz="0" w:space="0" w:color="auto"/>
        <w:bottom w:val="none" w:sz="0" w:space="0" w:color="auto"/>
        <w:right w:val="none" w:sz="0" w:space="0" w:color="auto"/>
      </w:divBdr>
    </w:div>
    <w:div w:id="1162619404">
      <w:bodyDiv w:val="1"/>
      <w:marLeft w:val="0"/>
      <w:marRight w:val="0"/>
      <w:marTop w:val="0"/>
      <w:marBottom w:val="0"/>
      <w:divBdr>
        <w:top w:val="none" w:sz="0" w:space="0" w:color="auto"/>
        <w:left w:val="none" w:sz="0" w:space="0" w:color="auto"/>
        <w:bottom w:val="none" w:sz="0" w:space="0" w:color="auto"/>
        <w:right w:val="none" w:sz="0" w:space="0" w:color="auto"/>
      </w:divBdr>
    </w:div>
    <w:div w:id="1386685468">
      <w:bodyDiv w:val="1"/>
      <w:marLeft w:val="0"/>
      <w:marRight w:val="0"/>
      <w:marTop w:val="0"/>
      <w:marBottom w:val="0"/>
      <w:divBdr>
        <w:top w:val="none" w:sz="0" w:space="0" w:color="auto"/>
        <w:left w:val="none" w:sz="0" w:space="0" w:color="auto"/>
        <w:bottom w:val="none" w:sz="0" w:space="0" w:color="auto"/>
        <w:right w:val="none" w:sz="0" w:space="0" w:color="auto"/>
      </w:divBdr>
    </w:div>
    <w:div w:id="1485390357">
      <w:bodyDiv w:val="1"/>
      <w:marLeft w:val="0"/>
      <w:marRight w:val="0"/>
      <w:marTop w:val="0"/>
      <w:marBottom w:val="0"/>
      <w:divBdr>
        <w:top w:val="none" w:sz="0" w:space="0" w:color="auto"/>
        <w:left w:val="none" w:sz="0" w:space="0" w:color="auto"/>
        <w:bottom w:val="none" w:sz="0" w:space="0" w:color="auto"/>
        <w:right w:val="none" w:sz="0" w:space="0" w:color="auto"/>
      </w:divBdr>
    </w:div>
    <w:div w:id="1506742552">
      <w:bodyDiv w:val="1"/>
      <w:marLeft w:val="0"/>
      <w:marRight w:val="0"/>
      <w:marTop w:val="0"/>
      <w:marBottom w:val="0"/>
      <w:divBdr>
        <w:top w:val="none" w:sz="0" w:space="0" w:color="auto"/>
        <w:left w:val="none" w:sz="0" w:space="0" w:color="auto"/>
        <w:bottom w:val="none" w:sz="0" w:space="0" w:color="auto"/>
        <w:right w:val="none" w:sz="0" w:space="0" w:color="auto"/>
      </w:divBdr>
    </w:div>
    <w:div w:id="1634410367">
      <w:bodyDiv w:val="1"/>
      <w:marLeft w:val="0"/>
      <w:marRight w:val="0"/>
      <w:marTop w:val="0"/>
      <w:marBottom w:val="0"/>
      <w:divBdr>
        <w:top w:val="none" w:sz="0" w:space="0" w:color="auto"/>
        <w:left w:val="none" w:sz="0" w:space="0" w:color="auto"/>
        <w:bottom w:val="none" w:sz="0" w:space="0" w:color="auto"/>
        <w:right w:val="none" w:sz="0" w:space="0" w:color="auto"/>
      </w:divBdr>
    </w:div>
    <w:div w:id="17579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Katy</dc:creator>
  <cp:lastModifiedBy>user</cp:lastModifiedBy>
  <cp:revision>2</cp:revision>
  <dcterms:created xsi:type="dcterms:W3CDTF">2021-06-30T09:37:00Z</dcterms:created>
  <dcterms:modified xsi:type="dcterms:W3CDTF">2021-06-30T09:37:00Z</dcterms:modified>
</cp:coreProperties>
</file>