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pPr w:leftFromText="180" w:rightFromText="180" w:vertAnchor="page" w:horzAnchor="margin" w:tblpXSpec="center" w:tblpY="1606"/>
        <w:tblW w:w="10881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511"/>
        <w:gridCol w:w="3982"/>
        <w:gridCol w:w="5388"/>
      </w:tblGrid>
      <w:tr w:rsidR="00022A34" w:rsidTr="0049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</w:tcPr>
          <w:p w:rsidR="00BE6BCB" w:rsidRPr="00091A02" w:rsidRDefault="002911B0" w:rsidP="004957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091A02">
              <w:rPr>
                <w:rFonts w:asciiTheme="minorHAnsi" w:hAnsiTheme="minorHAnsi"/>
                <w:sz w:val="52"/>
                <w:szCs w:val="52"/>
              </w:rPr>
              <w:t>Significant</w:t>
            </w:r>
            <w:r w:rsidR="009B420E" w:rsidRPr="00091A02">
              <w:rPr>
                <w:rFonts w:asciiTheme="minorHAnsi" w:hAnsiTheme="minorHAnsi"/>
                <w:sz w:val="52"/>
                <w:szCs w:val="52"/>
              </w:rPr>
              <w:t xml:space="preserve"> Event (</w:t>
            </w:r>
            <w:proofErr w:type="spellStart"/>
            <w:r w:rsidR="000C2675" w:rsidRPr="00091A02">
              <w:rPr>
                <w:rFonts w:asciiTheme="minorHAnsi" w:hAnsiTheme="minorHAnsi"/>
                <w:sz w:val="52"/>
                <w:szCs w:val="52"/>
              </w:rPr>
              <w:t>Datix</w:t>
            </w:r>
            <w:proofErr w:type="spellEnd"/>
            <w:r w:rsidR="009B420E" w:rsidRPr="00091A02">
              <w:rPr>
                <w:rFonts w:asciiTheme="minorHAnsi" w:hAnsiTheme="minorHAnsi"/>
                <w:sz w:val="52"/>
                <w:szCs w:val="52"/>
              </w:rPr>
              <w:t>)</w:t>
            </w:r>
            <w:r w:rsidR="000C2675" w:rsidRPr="00091A02">
              <w:rPr>
                <w:rFonts w:asciiTheme="minorHAnsi" w:hAnsiTheme="minorHAnsi"/>
                <w:sz w:val="52"/>
                <w:szCs w:val="52"/>
              </w:rPr>
              <w:t xml:space="preserve"> Alert</w:t>
            </w:r>
          </w:p>
        </w:tc>
      </w:tr>
      <w:tr w:rsidR="00AF375B" w:rsidTr="0049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  <w:tcBorders>
              <w:top w:val="nil"/>
              <w:left w:val="single" w:sz="4" w:space="0" w:color="FABF8F" w:themeColor="accent6" w:themeTint="99"/>
              <w:bottom w:val="nil"/>
            </w:tcBorders>
          </w:tcPr>
          <w:p w:rsidR="00AF375B" w:rsidRPr="004957FD" w:rsidRDefault="00AF375B" w:rsidP="004957FD">
            <w:pPr>
              <w:rPr>
                <w:rFonts w:asciiTheme="minorHAnsi" w:hAnsiTheme="minorHAnsi"/>
                <w:b w:val="0"/>
                <w:bCs w:val="0"/>
                <w:sz w:val="36"/>
                <w:szCs w:val="36"/>
              </w:rPr>
            </w:pPr>
            <w:r w:rsidRPr="004957FD">
              <w:rPr>
                <w:rFonts w:asciiTheme="minorHAnsi" w:hAnsiTheme="minorHAnsi"/>
                <w:b w:val="0"/>
                <w:sz w:val="36"/>
                <w:szCs w:val="36"/>
              </w:rPr>
              <w:t>Title:</w:t>
            </w:r>
            <w:r w:rsidRPr="004957F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4957FD">
              <w:rPr>
                <w:rFonts w:asciiTheme="minorHAnsi" w:hAnsiTheme="minorHAnsi"/>
                <w:b w:val="0"/>
                <w:sz w:val="36"/>
                <w:szCs w:val="36"/>
              </w:rPr>
              <w:t>Maternal Death</w:t>
            </w:r>
            <w:r w:rsidRPr="004957FD">
              <w:rPr>
                <w:rFonts w:asciiTheme="minorHAnsi" w:hAnsiTheme="minorHAnsi"/>
                <w:sz w:val="36"/>
                <w:szCs w:val="36"/>
              </w:rPr>
              <w:t xml:space="preserve">     </w:t>
            </w:r>
          </w:p>
        </w:tc>
        <w:tc>
          <w:tcPr>
            <w:tcW w:w="5388" w:type="dxa"/>
            <w:tcBorders>
              <w:top w:val="nil"/>
              <w:bottom w:val="nil"/>
              <w:right w:val="single" w:sz="4" w:space="0" w:color="FABF8F" w:themeColor="accent6" w:themeTint="99"/>
            </w:tcBorders>
          </w:tcPr>
          <w:p w:rsidR="00AF375B" w:rsidRPr="004957FD" w:rsidRDefault="00AF375B" w:rsidP="0049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4957FD">
              <w:rPr>
                <w:rFonts w:asciiTheme="minorHAnsi" w:hAnsiTheme="minorHAnsi"/>
                <w:sz w:val="36"/>
                <w:szCs w:val="36"/>
              </w:rPr>
              <w:t>Date:  June 2021</w:t>
            </w:r>
          </w:p>
        </w:tc>
      </w:tr>
      <w:tr w:rsidR="0011112A" w:rsidTr="00495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top w:val="nil"/>
            </w:tcBorders>
          </w:tcPr>
          <w:p w:rsidR="0011112A" w:rsidRPr="004957FD" w:rsidRDefault="00092138" w:rsidP="004957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 w:rsidR="00A229AE" w:rsidRPr="004957FD">
              <w:rPr>
                <w:rFonts w:asciiTheme="minorHAnsi" w:hAnsiTheme="minorHAnsi"/>
                <w:b w:val="0"/>
                <w:sz w:val="22"/>
                <w:szCs w:val="22"/>
              </w:rPr>
              <w:t>South West and Mid Hampshire</w:t>
            </w:r>
            <w:r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part of the </w:t>
            </w:r>
            <w:r w:rsidR="000C0B08" w:rsidRPr="004957FD">
              <w:rPr>
                <w:rFonts w:asciiTheme="minorHAnsi" w:hAnsiTheme="minorHAnsi"/>
                <w:b w:val="0"/>
                <w:sz w:val="22"/>
                <w:szCs w:val="22"/>
              </w:rPr>
              <w:t>system has</w:t>
            </w:r>
            <w:r w:rsidR="0011112A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been receiving </w:t>
            </w:r>
            <w:proofErr w:type="spellStart"/>
            <w:r w:rsidR="0011112A" w:rsidRPr="004957FD">
              <w:rPr>
                <w:rFonts w:asciiTheme="minorHAnsi" w:hAnsiTheme="minorHAnsi"/>
                <w:b w:val="0"/>
                <w:sz w:val="22"/>
                <w:szCs w:val="22"/>
              </w:rPr>
              <w:t>Datix</w:t>
            </w:r>
            <w:proofErr w:type="spellEnd"/>
            <w:r w:rsidR="0011112A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Significant Event reports from Primary Care since F</w:t>
            </w:r>
            <w:r w:rsidR="00E13827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ebruary 2017.  The CCG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>reviews each</w:t>
            </w:r>
            <w:r w:rsidR="0044650E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Significant Event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and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shares learning from 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>key themes and trends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identified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>.  This alert highlights key learning</w:t>
            </w:r>
            <w:r w:rsidR="002254B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relevant to Primary Care following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a recent </w:t>
            </w:r>
            <w:r w:rsidR="002254B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system-wide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Significant Event. </w:t>
            </w:r>
            <w:r w:rsidR="004C3A51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You are encouraged to review the learning identified from this incident 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>and consider the recommended actions in order to prevent future similar events.</w:t>
            </w:r>
          </w:p>
        </w:tc>
      </w:tr>
      <w:tr w:rsidR="0011112A" w:rsidRPr="00091A02" w:rsidTr="0049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4957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4957FD" w:rsidRDefault="0011112A" w:rsidP="0049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495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4957FD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Summary</w:t>
            </w:r>
          </w:p>
          <w:p w:rsidR="0011112A" w:rsidRPr="004957FD" w:rsidRDefault="0011112A" w:rsidP="004957FD">
            <w:pPr>
              <w:rPr>
                <w:rFonts w:asciiTheme="minorHAnsi" w:hAnsiTheme="minorHAnsi"/>
              </w:rPr>
            </w:pP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15691B" w:rsidRPr="004957FD" w:rsidRDefault="004957FD" w:rsidP="004957F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A Serious incident </w:t>
            </w:r>
            <w:r w:rsidR="00FB0E25" w:rsidRPr="004957FD">
              <w:rPr>
                <w:rFonts w:asciiTheme="minorHAnsi" w:hAnsiTheme="minorHAnsi"/>
                <w:sz w:val="22"/>
                <w:szCs w:val="22"/>
              </w:rPr>
              <w:t xml:space="preserve">was reported following the death of a thirty-year-old female patient. The patient had given birth to a baby 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>within the previous 50 days</w:t>
            </w:r>
          </w:p>
          <w:p w:rsidR="0015691B" w:rsidRPr="004957FD" w:rsidRDefault="00FB0E25" w:rsidP="004957F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The patient was confirmed as COVID-19 positive </w:t>
            </w:r>
            <w:r w:rsidR="000C0B08" w:rsidRPr="004957FD">
              <w:rPr>
                <w:rFonts w:asciiTheme="minorHAnsi" w:hAnsiTheme="minorHAnsi"/>
                <w:sz w:val="22"/>
                <w:szCs w:val="22"/>
              </w:rPr>
              <w:t>nine days prior to her death</w:t>
            </w:r>
          </w:p>
          <w:p w:rsidR="000C0B08" w:rsidRPr="004957FD" w:rsidRDefault="00346519" w:rsidP="004957F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>T</w:t>
            </w:r>
            <w:r w:rsidR="000C0B08" w:rsidRPr="004957FD">
              <w:rPr>
                <w:rFonts w:asciiTheme="minorHAnsi" w:hAnsiTheme="minorHAnsi"/>
                <w:sz w:val="22"/>
                <w:szCs w:val="22"/>
              </w:rPr>
              <w:t>wo days prior to her death (Friday)</w:t>
            </w:r>
            <w:r w:rsidR="00FB0E25" w:rsidRPr="004957FD">
              <w:rPr>
                <w:rFonts w:asciiTheme="minorHAnsi" w:hAnsiTheme="minorHAnsi"/>
                <w:sz w:val="22"/>
                <w:szCs w:val="22"/>
              </w:rPr>
              <w:t xml:space="preserve">, the patient completed an </w:t>
            </w:r>
            <w:proofErr w:type="spellStart"/>
            <w:r w:rsidR="00FB0E25" w:rsidRPr="004957FD">
              <w:rPr>
                <w:rFonts w:asciiTheme="minorHAnsi" w:hAnsiTheme="minorHAnsi"/>
                <w:sz w:val="22"/>
                <w:szCs w:val="22"/>
              </w:rPr>
              <w:t>eConsult</w:t>
            </w:r>
            <w:proofErr w:type="spellEnd"/>
            <w:r w:rsidR="00FB0E25" w:rsidRPr="004957FD">
              <w:rPr>
                <w:rFonts w:asciiTheme="minorHAnsi" w:hAnsiTheme="minorHAnsi"/>
                <w:sz w:val="22"/>
                <w:szCs w:val="22"/>
              </w:rPr>
              <w:t xml:space="preserve"> form in relation to the calf pain that she was experiencing</w:t>
            </w:r>
          </w:p>
          <w:p w:rsidR="000C0B08" w:rsidRPr="004957FD" w:rsidRDefault="00346519" w:rsidP="004957F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proofErr w:type="spellStart"/>
            <w:r w:rsidRPr="004957FD">
              <w:rPr>
                <w:rFonts w:asciiTheme="minorHAnsi" w:hAnsiTheme="minorHAnsi"/>
                <w:sz w:val="22"/>
                <w:szCs w:val="22"/>
              </w:rPr>
              <w:t>eC</w:t>
            </w:r>
            <w:r w:rsidR="000C0B08" w:rsidRPr="004957FD">
              <w:rPr>
                <w:rFonts w:asciiTheme="minorHAnsi" w:hAnsiTheme="minorHAnsi"/>
                <w:sz w:val="22"/>
                <w:szCs w:val="22"/>
              </w:rPr>
              <w:t>onsult</w:t>
            </w:r>
            <w:proofErr w:type="spellEnd"/>
            <w:r w:rsidR="000C0B08" w:rsidRPr="004957FD">
              <w:rPr>
                <w:rFonts w:asciiTheme="minorHAnsi" w:hAnsiTheme="minorHAnsi"/>
                <w:sz w:val="22"/>
                <w:szCs w:val="22"/>
              </w:rPr>
              <w:t xml:space="preserve"> form was not reviewed by a clinician and her medical notes were not reviewed</w:t>
            </w:r>
          </w:p>
          <w:p w:rsidR="0015691B" w:rsidRPr="004957FD" w:rsidRDefault="000C0B08" w:rsidP="004957F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>There was no formal system in</w:t>
            </w:r>
            <w:r w:rsidR="00346519" w:rsidRPr="004957FD">
              <w:rPr>
                <w:rFonts w:asciiTheme="minorHAnsi" w:hAnsiTheme="minorHAnsi"/>
                <w:sz w:val="22"/>
                <w:szCs w:val="22"/>
              </w:rPr>
              <w:t xml:space="preserve"> place for </w:t>
            </w:r>
            <w:proofErr w:type="spellStart"/>
            <w:r w:rsidR="00346519" w:rsidRPr="004957FD">
              <w:rPr>
                <w:rFonts w:asciiTheme="minorHAnsi" w:hAnsiTheme="minorHAnsi"/>
                <w:sz w:val="22"/>
                <w:szCs w:val="22"/>
              </w:rPr>
              <w:t>eConsult</w:t>
            </w:r>
            <w:proofErr w:type="spellEnd"/>
            <w:r w:rsidR="00346519" w:rsidRPr="004957FD">
              <w:rPr>
                <w:rFonts w:asciiTheme="minorHAnsi" w:hAnsiTheme="minorHAnsi"/>
                <w:sz w:val="22"/>
                <w:szCs w:val="22"/>
              </w:rPr>
              <w:t xml:space="preserve"> forms with ‘r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>ed</w:t>
            </w:r>
            <w:r w:rsidR="00346519" w:rsidRPr="004957FD">
              <w:rPr>
                <w:rFonts w:asciiTheme="minorHAnsi" w:hAnsiTheme="minorHAnsi"/>
                <w:sz w:val="22"/>
                <w:szCs w:val="22"/>
              </w:rPr>
              <w:t>’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346519" w:rsidRPr="004957FD">
              <w:rPr>
                <w:rFonts w:asciiTheme="minorHAnsi" w:hAnsiTheme="minorHAnsi"/>
                <w:sz w:val="22"/>
                <w:szCs w:val="22"/>
              </w:rPr>
              <w:t>‘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>amber</w:t>
            </w:r>
            <w:r w:rsidR="00346519" w:rsidRPr="004957FD">
              <w:rPr>
                <w:rFonts w:asciiTheme="minorHAnsi" w:hAnsiTheme="minorHAnsi"/>
                <w:sz w:val="22"/>
                <w:szCs w:val="22"/>
              </w:rPr>
              <w:t>’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 xml:space="preserve"> flags to be reviewed by a clinician prior to the allocation of an appointment</w:t>
            </w:r>
          </w:p>
          <w:p w:rsidR="00E62B19" w:rsidRPr="004957FD" w:rsidRDefault="00E62B19" w:rsidP="004957F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>The red and amber flags were identified as urgent by reception staff, but not for seeing on the day</w:t>
            </w:r>
          </w:p>
          <w:p w:rsidR="0011112A" w:rsidRPr="004957FD" w:rsidRDefault="00E62B19" w:rsidP="004957F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>Clinical triage was booked on the next available slot (Monday), however, t</w:t>
            </w:r>
            <w:r w:rsidR="00FB0E25" w:rsidRPr="004957FD">
              <w:rPr>
                <w:rFonts w:asciiTheme="minorHAnsi" w:hAnsiTheme="minorHAnsi"/>
                <w:sz w:val="22"/>
                <w:szCs w:val="22"/>
              </w:rPr>
              <w:t xml:space="preserve">he patient collapsed at home on the Sunday and died shortly after admission to </w:t>
            </w:r>
            <w:r w:rsidR="004957FD" w:rsidRPr="004957FD">
              <w:rPr>
                <w:rFonts w:asciiTheme="minorHAnsi" w:hAnsiTheme="minorHAnsi"/>
                <w:sz w:val="22"/>
                <w:szCs w:val="22"/>
              </w:rPr>
              <w:t>hospital with a p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>ulmonary embolism</w:t>
            </w:r>
            <w:r w:rsidR="002A2E2F">
              <w:rPr>
                <w:rFonts w:asciiTheme="minorHAnsi" w:hAnsiTheme="minorHAnsi"/>
                <w:sz w:val="22"/>
                <w:szCs w:val="22"/>
              </w:rPr>
              <w:t>.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1112A" w:rsidRPr="00091A02" w:rsidTr="0049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4957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4957FD" w:rsidRDefault="0011112A" w:rsidP="0049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495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4957FD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Identified Risks</w:t>
            </w: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11112A" w:rsidRPr="004957FD" w:rsidRDefault="00092138" w:rsidP="004957FD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proofErr w:type="spellStart"/>
            <w:r w:rsidRPr="004957FD">
              <w:rPr>
                <w:rFonts w:asciiTheme="minorHAnsi" w:hAnsiTheme="minorHAnsi"/>
                <w:sz w:val="22"/>
                <w:szCs w:val="22"/>
              </w:rPr>
              <w:t>eConsult</w:t>
            </w:r>
            <w:proofErr w:type="spellEnd"/>
            <w:r w:rsidRPr="004957FD">
              <w:rPr>
                <w:rFonts w:asciiTheme="minorHAnsi" w:hAnsiTheme="minorHAnsi"/>
                <w:sz w:val="22"/>
                <w:szCs w:val="22"/>
              </w:rPr>
              <w:t xml:space="preserve"> form was not designed in a way that identified all relevant information</w:t>
            </w:r>
          </w:p>
          <w:p w:rsidR="00092138" w:rsidRPr="004957FD" w:rsidRDefault="00092138" w:rsidP="004957FD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proofErr w:type="spellStart"/>
            <w:r w:rsidR="000C0B08" w:rsidRPr="004957FD">
              <w:rPr>
                <w:rFonts w:asciiTheme="minorHAnsi" w:hAnsiTheme="minorHAnsi"/>
                <w:sz w:val="22"/>
                <w:szCs w:val="22"/>
              </w:rPr>
              <w:t>eConsult</w:t>
            </w:r>
            <w:proofErr w:type="spellEnd"/>
            <w:r w:rsidR="000C0B08" w:rsidRPr="004957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 xml:space="preserve">forms with red and amber flags are not reviewed by a </w:t>
            </w:r>
            <w:r w:rsidR="000C0B08" w:rsidRPr="004957FD">
              <w:rPr>
                <w:rFonts w:asciiTheme="minorHAnsi" w:hAnsiTheme="minorHAnsi"/>
                <w:sz w:val="22"/>
                <w:szCs w:val="22"/>
              </w:rPr>
              <w:t>clinician</w:t>
            </w:r>
            <w:r w:rsidR="002254B9" w:rsidRPr="004957FD">
              <w:rPr>
                <w:rFonts w:asciiTheme="minorHAnsi" w:hAnsiTheme="minorHAnsi"/>
                <w:sz w:val="22"/>
                <w:szCs w:val="22"/>
              </w:rPr>
              <w:t xml:space="preserve"> there is the chance that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 xml:space="preserve"> a patient safety risk is not identified </w:t>
            </w:r>
            <w:r w:rsidR="000C0B08" w:rsidRPr="004957FD">
              <w:rPr>
                <w:rFonts w:asciiTheme="minorHAnsi" w:hAnsiTheme="minorHAnsi"/>
                <w:sz w:val="22"/>
                <w:szCs w:val="22"/>
              </w:rPr>
              <w:t>in a timely manner</w:t>
            </w:r>
          </w:p>
          <w:p w:rsidR="00092138" w:rsidRPr="004957FD" w:rsidRDefault="000C0B08" w:rsidP="004957FD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A system of </w:t>
            </w:r>
            <w:r w:rsidR="002254B9" w:rsidRPr="004957FD">
              <w:rPr>
                <w:rFonts w:asciiTheme="minorHAnsi" w:hAnsiTheme="minorHAnsi"/>
                <w:sz w:val="22"/>
                <w:szCs w:val="22"/>
              </w:rPr>
              <w:t>‘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>first come first served</w:t>
            </w:r>
            <w:r w:rsidR="002254B9" w:rsidRPr="004957FD">
              <w:rPr>
                <w:rFonts w:asciiTheme="minorHAnsi" w:hAnsiTheme="minorHAnsi"/>
                <w:sz w:val="22"/>
                <w:szCs w:val="22"/>
              </w:rPr>
              <w:t>’ allocation of appointments</w:t>
            </w:r>
            <w:r w:rsidRPr="004957FD">
              <w:rPr>
                <w:rFonts w:asciiTheme="minorHAnsi" w:hAnsiTheme="minorHAnsi"/>
                <w:sz w:val="22"/>
                <w:szCs w:val="22"/>
              </w:rPr>
              <w:t xml:space="preserve"> should be avoided to ensure that those in most need </w:t>
            </w:r>
            <w:r w:rsidR="002254B9" w:rsidRPr="004957FD">
              <w:rPr>
                <w:rFonts w:asciiTheme="minorHAnsi" w:hAnsiTheme="minorHAnsi"/>
                <w:sz w:val="22"/>
                <w:szCs w:val="22"/>
              </w:rPr>
              <w:t>of review are seen at the most appropriate time.</w:t>
            </w:r>
          </w:p>
        </w:tc>
      </w:tr>
      <w:tr w:rsidR="0011112A" w:rsidRPr="00091A02" w:rsidTr="0049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4957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4957FD" w:rsidRDefault="0011112A" w:rsidP="0049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495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4957FD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Identified learning</w:t>
            </w:r>
          </w:p>
          <w:p w:rsidR="0011112A" w:rsidRPr="004957FD" w:rsidRDefault="0011112A" w:rsidP="004957FD">
            <w:pPr>
              <w:rPr>
                <w:rFonts w:asciiTheme="minorHAnsi" w:hAnsiTheme="minorHAnsi"/>
              </w:rPr>
            </w:pP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0E13D7" w:rsidRPr="004957FD" w:rsidRDefault="000E13D7" w:rsidP="004957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system wide review has identified 18 </w:t>
            </w:r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recommendations, </w:t>
            </w:r>
            <w:r w:rsidR="000C0B0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of </w:t>
            </w:r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them </w:t>
            </w:r>
            <w:r w:rsidR="000C0B0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6 </w:t>
            </w:r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>are relevant and specific to Primary Care</w:t>
            </w: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involving:</w:t>
            </w:r>
          </w:p>
          <w:p w:rsidR="002254B9" w:rsidRPr="004957FD" w:rsidRDefault="002254B9" w:rsidP="004957F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>e-Consult is a decision support tool for triage in a GP Practice</w:t>
            </w:r>
          </w:p>
          <w:p w:rsidR="000E13D7" w:rsidRPr="004957FD" w:rsidRDefault="000E13D7" w:rsidP="004957F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Communication of COVID-19 positive status and </w:t>
            </w:r>
            <w:r w:rsidR="000C0B0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VTE </w:t>
            </w: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>advice to post-natal women who test positive for COVID-19</w:t>
            </w:r>
          </w:p>
          <w:p w:rsidR="000E13D7" w:rsidRPr="004957FD" w:rsidRDefault="000E13D7" w:rsidP="004957F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>Clinical signposting provided over the phone should be documented</w:t>
            </w:r>
          </w:p>
          <w:p w:rsidR="000E13D7" w:rsidRPr="004957FD" w:rsidRDefault="000E13D7" w:rsidP="004957F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GP practice management of </w:t>
            </w:r>
            <w:proofErr w:type="spellStart"/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>eConsult</w:t>
            </w:r>
            <w:proofErr w:type="spellEnd"/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forms</w:t>
            </w:r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requires a formal system and process</w:t>
            </w:r>
          </w:p>
          <w:p w:rsidR="000E13D7" w:rsidRPr="004957FD" w:rsidRDefault="000E13D7" w:rsidP="004957F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Reception/administration staff </w:t>
            </w:r>
            <w:r w:rsidR="000C0B0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>require</w:t>
            </w: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formal training</w:t>
            </w:r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on the management of </w:t>
            </w:r>
            <w:proofErr w:type="spellStart"/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>eConsult</w:t>
            </w:r>
            <w:proofErr w:type="spellEnd"/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forms </w:t>
            </w:r>
          </w:p>
          <w:p w:rsidR="000E13D7" w:rsidRPr="004957FD" w:rsidRDefault="000E13D7" w:rsidP="004957F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>Clinical led triage system</w:t>
            </w:r>
            <w:r w:rsidR="000C0B0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>s are required</w:t>
            </w:r>
            <w:r w:rsidR="00092138"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with a minimum standard of </w:t>
            </w: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>all red/amber flags to be reviewed by a clinician</w:t>
            </w:r>
          </w:p>
          <w:p w:rsidR="0011112A" w:rsidRPr="004957FD" w:rsidRDefault="000E13D7" w:rsidP="004957F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Patients notes to be reviewed in conjunction with the </w:t>
            </w:r>
            <w:proofErr w:type="spellStart"/>
            <w:r w:rsidRPr="004957FD">
              <w:rPr>
                <w:rFonts w:asciiTheme="minorHAnsi" w:hAnsiTheme="minorHAnsi"/>
                <w:sz w:val="22"/>
                <w:szCs w:val="22"/>
                <w:lang w:val="en-US"/>
              </w:rPr>
              <w:t>eConsult</w:t>
            </w:r>
            <w:proofErr w:type="spellEnd"/>
            <w:r w:rsidR="002A2E2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11112A" w:rsidRPr="00091A02" w:rsidTr="0049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4957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4957FD" w:rsidRDefault="0011112A" w:rsidP="0049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495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4957FD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Suggested actions</w:t>
            </w:r>
          </w:p>
          <w:p w:rsidR="0011112A" w:rsidRPr="004957FD" w:rsidRDefault="0011112A" w:rsidP="004957FD">
            <w:pPr>
              <w:rPr>
                <w:rFonts w:asciiTheme="minorHAnsi" w:hAnsiTheme="minorHAnsi"/>
              </w:rPr>
            </w:pP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11112A" w:rsidRPr="004957FD" w:rsidRDefault="00092138" w:rsidP="004957FD">
            <w:pPr>
              <w:pStyle w:val="Body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</w:rPr>
            </w:pPr>
            <w:r w:rsidRPr="004957FD">
              <w:rPr>
                <w:rFonts w:asciiTheme="minorHAnsi" w:hAnsiTheme="minorHAnsi"/>
                <w:b w:val="0"/>
                <w:color w:val="1F497D" w:themeColor="text2"/>
              </w:rPr>
              <w:t xml:space="preserve">All GP practices to review their systems and processes in relation the management of clinical </w:t>
            </w:r>
            <w:proofErr w:type="spellStart"/>
            <w:r w:rsidRPr="004957FD">
              <w:rPr>
                <w:rFonts w:asciiTheme="minorHAnsi" w:hAnsiTheme="minorHAnsi"/>
                <w:b w:val="0"/>
                <w:color w:val="1F497D" w:themeColor="text2"/>
              </w:rPr>
              <w:t>eConsult</w:t>
            </w:r>
            <w:proofErr w:type="spellEnd"/>
            <w:r w:rsidRPr="004957FD">
              <w:rPr>
                <w:rFonts w:asciiTheme="minorHAnsi" w:hAnsiTheme="minorHAnsi"/>
                <w:b w:val="0"/>
                <w:color w:val="1F497D" w:themeColor="text2"/>
              </w:rPr>
              <w:t xml:space="preserve"> forms to ensure that the learning above is </w:t>
            </w:r>
            <w:r w:rsidR="000C0B08" w:rsidRPr="004957FD">
              <w:rPr>
                <w:rFonts w:asciiTheme="minorHAnsi" w:hAnsiTheme="minorHAnsi"/>
                <w:b w:val="0"/>
                <w:color w:val="1F497D" w:themeColor="text2"/>
              </w:rPr>
              <w:t>embedded in</w:t>
            </w:r>
            <w:r w:rsidR="004A4577">
              <w:rPr>
                <w:rFonts w:asciiTheme="minorHAnsi" w:hAnsiTheme="minorHAnsi"/>
                <w:b w:val="0"/>
                <w:strike/>
                <w:color w:val="1F497D" w:themeColor="text2"/>
              </w:rPr>
              <w:t xml:space="preserve"> </w:t>
            </w:r>
            <w:r w:rsidR="000C0B08" w:rsidRPr="004957FD">
              <w:rPr>
                <w:rFonts w:asciiTheme="minorHAnsi" w:hAnsiTheme="minorHAnsi"/>
                <w:b w:val="0"/>
                <w:color w:val="1F497D" w:themeColor="text2"/>
              </w:rPr>
              <w:t>practice</w:t>
            </w:r>
          </w:p>
          <w:p w:rsidR="000C0B08" w:rsidRPr="004957FD" w:rsidRDefault="000C0B08" w:rsidP="004957FD">
            <w:pPr>
              <w:pStyle w:val="Body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</w:rPr>
            </w:pPr>
            <w:r w:rsidRPr="004957FD">
              <w:rPr>
                <w:rFonts w:asciiTheme="minorHAnsi" w:hAnsiTheme="minorHAnsi"/>
                <w:b w:val="0"/>
                <w:color w:val="1F497D" w:themeColor="text2"/>
              </w:rPr>
              <w:t>All relevant staff groups should be made aware of the learning from this incident</w:t>
            </w:r>
            <w:r w:rsidR="00E62B19" w:rsidRPr="004957FD">
              <w:rPr>
                <w:rFonts w:asciiTheme="minorHAnsi" w:hAnsiTheme="minorHAnsi"/>
                <w:b w:val="0"/>
                <w:color w:val="1F497D" w:themeColor="text2"/>
              </w:rPr>
              <w:t>.</w:t>
            </w:r>
          </w:p>
        </w:tc>
      </w:tr>
      <w:tr w:rsidR="0011112A" w:rsidRPr="00091A02" w:rsidTr="0049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4957FD">
            <w:pPr>
              <w:rPr>
                <w:rFonts w:asciiTheme="minorHAnsi" w:hAnsiTheme="minorHAnsi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4957FD" w:rsidRDefault="0011112A" w:rsidP="0049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12A" w:rsidTr="00495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2254B9" w:rsidRPr="004957FD" w:rsidRDefault="0011112A" w:rsidP="004957FD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For further information</w:t>
            </w:r>
            <w:r w:rsidR="002254B9" w:rsidRPr="004957FD">
              <w:rPr>
                <w:rFonts w:asciiTheme="minorHAnsi" w:hAnsiTheme="minorHAnsi"/>
              </w:rPr>
              <w:t>/</w:t>
            </w:r>
          </w:p>
          <w:p w:rsidR="0011112A" w:rsidRPr="004957FD" w:rsidRDefault="002254B9" w:rsidP="004957FD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support:</w:t>
            </w: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11112A" w:rsidRPr="004957FD" w:rsidRDefault="004957FD" w:rsidP="004957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WHCCG Primary Care Quality: </w:t>
            </w:r>
          </w:p>
          <w:p w:rsidR="00FB0E25" w:rsidRPr="004957FD" w:rsidRDefault="0011112A" w:rsidP="004957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sz w:val="22"/>
                <w:szCs w:val="22"/>
              </w:rPr>
              <w:t xml:space="preserve">Viv O’Connor: </w:t>
            </w:r>
            <w:hyperlink r:id="rId9" w:history="1">
              <w:r w:rsidRPr="004957FD">
                <w:rPr>
                  <w:rStyle w:val="Hyperlink"/>
                  <w:rFonts w:asciiTheme="minorHAnsi" w:hAnsiTheme="minorHAnsi"/>
                  <w:color w:val="1F497D" w:themeColor="text2"/>
                  <w:sz w:val="22"/>
                  <w:szCs w:val="22"/>
                </w:rPr>
                <w:t>Vivienne.Oconnor@nhs.net</w:t>
              </w:r>
            </w:hyperlink>
            <w:r w:rsidRPr="004957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54B9" w:rsidRPr="004957FD">
              <w:rPr>
                <w:rFonts w:asciiTheme="minorHAnsi" w:hAnsiTheme="minorHAnsi"/>
                <w:sz w:val="22"/>
                <w:szCs w:val="22"/>
              </w:rPr>
              <w:t xml:space="preserve">  or  </w:t>
            </w:r>
            <w:r w:rsidR="00FB0E25" w:rsidRPr="004957FD">
              <w:rPr>
                <w:rFonts w:asciiTheme="minorHAnsi" w:hAnsiTheme="minorHAnsi"/>
                <w:sz w:val="22"/>
                <w:szCs w:val="22"/>
              </w:rPr>
              <w:t xml:space="preserve">Natalie Hallowell:  </w:t>
            </w:r>
            <w:hyperlink r:id="rId10" w:history="1">
              <w:r w:rsidR="00FB0E25" w:rsidRPr="004957FD">
                <w:rPr>
                  <w:rStyle w:val="Hyperlink"/>
                  <w:rFonts w:asciiTheme="minorHAnsi" w:hAnsiTheme="minorHAnsi"/>
                  <w:color w:val="1F497D" w:themeColor="text2"/>
                  <w:sz w:val="22"/>
                  <w:szCs w:val="22"/>
                </w:rPr>
                <w:t>N.Hallowell@nhs.net</w:t>
              </w:r>
            </w:hyperlink>
            <w:r w:rsidR="00FB0E25" w:rsidRPr="004957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1112A" w:rsidRPr="004957FD" w:rsidRDefault="0011112A" w:rsidP="004957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17EEF" w:rsidRDefault="00701F6D" w:rsidP="004957FD"/>
    <w:sectPr w:rsidR="00817E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72" w:rsidRDefault="00C67872" w:rsidP="000C2675">
      <w:pPr>
        <w:spacing w:after="0" w:line="240" w:lineRule="auto"/>
      </w:pPr>
      <w:r>
        <w:separator/>
      </w:r>
    </w:p>
  </w:endnote>
  <w:endnote w:type="continuationSeparator" w:id="0">
    <w:p w:rsidR="00C67872" w:rsidRDefault="00C67872" w:rsidP="000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884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6BCB" w:rsidRDefault="00BE6B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1F6D">
              <w:rPr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01F6D">
              <w:rPr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6BCB" w:rsidRDefault="00BE6BCB">
    <w:pPr>
      <w:pStyle w:val="Footer"/>
    </w:pPr>
    <w:r>
      <w:t>WHCCG Datix Alert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72" w:rsidRDefault="00C67872" w:rsidP="000C2675">
      <w:pPr>
        <w:spacing w:after="0" w:line="240" w:lineRule="auto"/>
      </w:pPr>
      <w:r>
        <w:separator/>
      </w:r>
    </w:p>
  </w:footnote>
  <w:footnote w:type="continuationSeparator" w:id="0">
    <w:p w:rsidR="00C67872" w:rsidRDefault="00C67872" w:rsidP="000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5" w:rsidRDefault="00A229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-354330</wp:posOffset>
          </wp:positionV>
          <wp:extent cx="2476846" cy="819264"/>
          <wp:effectExtent l="0" t="0" r="0" b="0"/>
          <wp:wrapTight wrapText="bothSides">
            <wp:wrapPolygon edited="0">
              <wp:start x="0" y="0"/>
              <wp:lineTo x="0" y="21098"/>
              <wp:lineTo x="21434" y="21098"/>
              <wp:lineTo x="214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ICC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846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675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685F923" wp14:editId="0CB3BC9D">
          <wp:simplePos x="0" y="0"/>
          <wp:positionH relativeFrom="column">
            <wp:posOffset>-638175</wp:posOffset>
          </wp:positionH>
          <wp:positionV relativeFrom="paragraph">
            <wp:posOffset>-211455</wp:posOffset>
          </wp:positionV>
          <wp:extent cx="1905000" cy="428625"/>
          <wp:effectExtent l="0" t="0" r="0" b="9525"/>
          <wp:wrapTight wrapText="bothSides">
            <wp:wrapPolygon edited="0">
              <wp:start x="0" y="0"/>
              <wp:lineTo x="0" y="21120"/>
              <wp:lineTo x="21384" y="21120"/>
              <wp:lineTo x="21384" y="0"/>
              <wp:lineTo x="0" y="0"/>
            </wp:wrapPolygon>
          </wp:wrapTight>
          <wp:docPr id="3" name="Picture 3" descr="Image result for dat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atix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0" b="42500"/>
                  <a:stretch/>
                </pic:blipFill>
                <pic:spPr bwMode="auto">
                  <a:xfrm>
                    <a:off x="0" y="0"/>
                    <a:ext cx="1905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2A6"/>
    <w:multiLevelType w:val="hybridMultilevel"/>
    <w:tmpl w:val="1BE0CF70"/>
    <w:lvl w:ilvl="0" w:tplc="AA864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78B8"/>
    <w:multiLevelType w:val="hybridMultilevel"/>
    <w:tmpl w:val="F00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69F2"/>
    <w:multiLevelType w:val="hybridMultilevel"/>
    <w:tmpl w:val="48F441EE"/>
    <w:lvl w:ilvl="0" w:tplc="A19A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CC9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E3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2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3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6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A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4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A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3055BA"/>
    <w:multiLevelType w:val="hybridMultilevel"/>
    <w:tmpl w:val="33AA861E"/>
    <w:lvl w:ilvl="0" w:tplc="9336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4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C4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E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6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A3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BF3A4C"/>
    <w:multiLevelType w:val="hybridMultilevel"/>
    <w:tmpl w:val="4C688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E4CB6"/>
    <w:multiLevelType w:val="hybridMultilevel"/>
    <w:tmpl w:val="54CA2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72626"/>
    <w:multiLevelType w:val="hybridMultilevel"/>
    <w:tmpl w:val="019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D2C27"/>
    <w:multiLevelType w:val="hybridMultilevel"/>
    <w:tmpl w:val="147C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27CD5"/>
    <w:multiLevelType w:val="hybridMultilevel"/>
    <w:tmpl w:val="89C02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156E2"/>
    <w:multiLevelType w:val="hybridMultilevel"/>
    <w:tmpl w:val="D55A6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5"/>
    <w:rsid w:val="00022A34"/>
    <w:rsid w:val="00091A02"/>
    <w:rsid w:val="00092138"/>
    <w:rsid w:val="000C0B08"/>
    <w:rsid w:val="000C2675"/>
    <w:rsid w:val="000E13D7"/>
    <w:rsid w:val="0011112A"/>
    <w:rsid w:val="0015691B"/>
    <w:rsid w:val="002254B9"/>
    <w:rsid w:val="002911B0"/>
    <w:rsid w:val="002A2E2F"/>
    <w:rsid w:val="003021F5"/>
    <w:rsid w:val="00346519"/>
    <w:rsid w:val="0044650E"/>
    <w:rsid w:val="004957FD"/>
    <w:rsid w:val="004A4577"/>
    <w:rsid w:val="004C3A51"/>
    <w:rsid w:val="005445C8"/>
    <w:rsid w:val="006A0A28"/>
    <w:rsid w:val="006C6816"/>
    <w:rsid w:val="00701F6D"/>
    <w:rsid w:val="00745409"/>
    <w:rsid w:val="00825408"/>
    <w:rsid w:val="00903E02"/>
    <w:rsid w:val="009B0CB9"/>
    <w:rsid w:val="009B420E"/>
    <w:rsid w:val="009C7ABE"/>
    <w:rsid w:val="00A229AE"/>
    <w:rsid w:val="00A739DF"/>
    <w:rsid w:val="00AF375B"/>
    <w:rsid w:val="00B04FFE"/>
    <w:rsid w:val="00B44C35"/>
    <w:rsid w:val="00BA1F6D"/>
    <w:rsid w:val="00BE6BCB"/>
    <w:rsid w:val="00C67872"/>
    <w:rsid w:val="00C71C12"/>
    <w:rsid w:val="00D5669C"/>
    <w:rsid w:val="00DF27F9"/>
    <w:rsid w:val="00E13827"/>
    <w:rsid w:val="00E62B19"/>
    <w:rsid w:val="00F7469F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1F497D" w:themeColor="text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5"/>
  </w:style>
  <w:style w:type="paragraph" w:styleId="Footer">
    <w:name w:val="footer"/>
    <w:basedOn w:val="Normal"/>
    <w:link w:val="Foot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5"/>
  </w:style>
  <w:style w:type="table" w:styleId="TableGrid">
    <w:name w:val="Table Grid"/>
    <w:basedOn w:val="TableNormal"/>
    <w:uiPriority w:val="59"/>
    <w:rsid w:val="000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816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E6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2911B0"/>
    <w:rPr>
      <w:rFonts w:eastAsia="Calibri" w:cs="Calibri"/>
      <w:b/>
      <w:color w:val="000000"/>
      <w:sz w:val="22"/>
      <w:szCs w:val="22"/>
      <w:u w:color="000000"/>
      <w:lang w:eastAsia="en-GB"/>
    </w:rPr>
  </w:style>
  <w:style w:type="table" w:styleId="ColorfulShading-Accent5">
    <w:name w:val="Colorful Shading Accent 5"/>
    <w:basedOn w:val="TableNormal"/>
    <w:uiPriority w:val="71"/>
    <w:rsid w:val="00DF27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2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6">
    <w:name w:val="Medium Shading 1 Accent 6"/>
    <w:basedOn w:val="TableNormal"/>
    <w:uiPriority w:val="63"/>
    <w:rsid w:val="00022A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1F497D" w:themeColor="text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5"/>
  </w:style>
  <w:style w:type="paragraph" w:styleId="Footer">
    <w:name w:val="footer"/>
    <w:basedOn w:val="Normal"/>
    <w:link w:val="Foot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5"/>
  </w:style>
  <w:style w:type="table" w:styleId="TableGrid">
    <w:name w:val="Table Grid"/>
    <w:basedOn w:val="TableNormal"/>
    <w:uiPriority w:val="59"/>
    <w:rsid w:val="000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816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E6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2911B0"/>
    <w:rPr>
      <w:rFonts w:eastAsia="Calibri" w:cs="Calibri"/>
      <w:b/>
      <w:color w:val="000000"/>
      <w:sz w:val="22"/>
      <w:szCs w:val="22"/>
      <w:u w:color="000000"/>
      <w:lang w:eastAsia="en-GB"/>
    </w:rPr>
  </w:style>
  <w:style w:type="table" w:styleId="ColorfulShading-Accent5">
    <w:name w:val="Colorful Shading Accent 5"/>
    <w:basedOn w:val="TableNormal"/>
    <w:uiPriority w:val="71"/>
    <w:rsid w:val="00DF27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2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6">
    <w:name w:val="Medium Shading 1 Accent 6"/>
    <w:basedOn w:val="TableNormal"/>
    <w:uiPriority w:val="63"/>
    <w:rsid w:val="00022A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4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.Hallowell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vienne.Oconnor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4628-72EF-47CA-AFED-7C11FA5D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2021-06-23T14:02:00Z</dcterms:created>
  <dcterms:modified xsi:type="dcterms:W3CDTF">2021-06-23T14:02:00Z</dcterms:modified>
</cp:coreProperties>
</file>