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A" w:rsidRPr="008D0875" w:rsidRDefault="003B79E4" w:rsidP="008D0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B79E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4810125</wp:posOffset>
                </wp:positionH>
                <wp:positionV relativeFrom="paragraph">
                  <wp:posOffset>-843281</wp:posOffset>
                </wp:positionV>
                <wp:extent cx="185737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E4" w:rsidRDefault="003B79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7B9004" wp14:editId="3050B189">
                                  <wp:extent cx="1666875" cy="657225"/>
                                  <wp:effectExtent l="0" t="0" r="9525" b="9525"/>
                                  <wp:docPr id="2" name="Picture 2" descr="West Hampshire CCG Intra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st Hampshire CCG Intra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605" cy="65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-66.4pt;width:14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" stroked="f">
                <v:textbox>
                  <w:txbxContent>
                    <w:p w:rsidR="003B79E4" w:rsidRDefault="003B79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7B9004" wp14:editId="3050B189">
                            <wp:extent cx="1666875" cy="657225"/>
                            <wp:effectExtent l="0" t="0" r="9525" b="9525"/>
                            <wp:docPr id="2" name="Picture 2" descr="West Hampshire CCG Intra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st Hampshire CCG Intra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605" cy="65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F6A" w:rsidRPr="008D0875">
        <w:rPr>
          <w:rFonts w:ascii="Arial" w:hAnsi="Arial" w:cs="Arial"/>
          <w:b/>
          <w:sz w:val="24"/>
          <w:szCs w:val="24"/>
        </w:rPr>
        <w:t xml:space="preserve">Agreement for </w:t>
      </w:r>
      <w:r w:rsidR="00EA0459" w:rsidRPr="008D0875">
        <w:rPr>
          <w:rFonts w:ascii="Arial" w:hAnsi="Arial" w:cs="Arial"/>
          <w:b/>
          <w:sz w:val="24"/>
          <w:szCs w:val="24"/>
        </w:rPr>
        <w:t>Safe Switching of Warfarin to Direct Oral Anticoagulants (DOACs) for Patients with Non-</w:t>
      </w:r>
      <w:proofErr w:type="spellStart"/>
      <w:r w:rsidR="00EA0459" w:rsidRPr="008D0875">
        <w:rPr>
          <w:rFonts w:ascii="Arial" w:hAnsi="Arial" w:cs="Arial"/>
          <w:b/>
          <w:sz w:val="24"/>
          <w:szCs w:val="24"/>
        </w:rPr>
        <w:t>Valvular</w:t>
      </w:r>
      <w:proofErr w:type="spellEnd"/>
      <w:r w:rsidR="00EA0459" w:rsidRPr="008D0875">
        <w:rPr>
          <w:rFonts w:ascii="Arial" w:hAnsi="Arial" w:cs="Arial"/>
          <w:b/>
          <w:sz w:val="24"/>
          <w:szCs w:val="24"/>
        </w:rPr>
        <w:t xml:space="preserve"> AF and Venous Thromboembolism (DVT / PE)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1D4F6A" w:rsidRPr="008D0875" w:rsidTr="00EA0459">
        <w:trPr>
          <w:trHeight w:val="520"/>
        </w:trPr>
        <w:tc>
          <w:tcPr>
            <w:tcW w:w="3085" w:type="dxa"/>
          </w:tcPr>
          <w:p w:rsidR="001D4F6A" w:rsidRPr="008D0875" w:rsidRDefault="00EA0459" w:rsidP="008D0875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8D0875">
              <w:rPr>
                <w:rFonts w:ascii="Arial" w:hAnsi="Arial" w:cs="Arial"/>
                <w:b/>
                <w:sz w:val="24"/>
                <w:szCs w:val="24"/>
              </w:rPr>
              <w:t>Practice name</w:t>
            </w:r>
          </w:p>
        </w:tc>
        <w:tc>
          <w:tcPr>
            <w:tcW w:w="7655" w:type="dxa"/>
          </w:tcPr>
          <w:p w:rsidR="001D4F6A" w:rsidRPr="008D0875" w:rsidRDefault="001D4F6A" w:rsidP="008D0875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4F6A" w:rsidRPr="008D0875" w:rsidRDefault="001D4F6A" w:rsidP="008D087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6154E" w:rsidRPr="008D0875" w:rsidTr="00577A91">
        <w:tc>
          <w:tcPr>
            <w:tcW w:w="10682" w:type="dxa"/>
            <w:shd w:val="clear" w:color="auto" w:fill="auto"/>
          </w:tcPr>
          <w:p w:rsidR="00BF16A3" w:rsidRDefault="00C6154E" w:rsidP="00BF16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F20"/>
                <w:sz w:val="24"/>
                <w:szCs w:val="24"/>
              </w:rPr>
            </w:pPr>
            <w:r w:rsidRPr="00BF16A3">
              <w:rPr>
                <w:rFonts w:ascii="Arial" w:hAnsi="Arial" w:cs="Arial"/>
                <w:i/>
                <w:color w:val="231F20"/>
                <w:sz w:val="24"/>
                <w:szCs w:val="24"/>
              </w:rPr>
              <w:t>In response to pressures on the NHS, the way we deliver anticoagulants may need to change.</w:t>
            </w:r>
          </w:p>
          <w:p w:rsidR="00BF16A3" w:rsidRPr="00BF16A3" w:rsidRDefault="00BF16A3" w:rsidP="00BF16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F20"/>
                <w:sz w:val="24"/>
                <w:szCs w:val="24"/>
              </w:rPr>
            </w:pPr>
            <w:r w:rsidRPr="00BF16A3">
              <w:rPr>
                <w:rFonts w:ascii="Arial" w:hAnsi="Arial" w:cs="Arial"/>
                <w:i/>
                <w:color w:val="231F20"/>
                <w:sz w:val="24"/>
                <w:szCs w:val="24"/>
              </w:rPr>
              <w:t>We</w:t>
            </w:r>
            <w:r w:rsidR="00C6154E" w:rsidRPr="00BF16A3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have a key role in continuing to keep patients on anticoagulants as safe as possible; this must be planned. </w:t>
            </w:r>
          </w:p>
          <w:p w:rsidR="00BF16A3" w:rsidRPr="00BF16A3" w:rsidRDefault="00C6154E" w:rsidP="00BF16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BF16A3">
              <w:rPr>
                <w:rFonts w:ascii="Arial" w:hAnsi="Arial" w:cs="Arial"/>
                <w:i/>
                <w:color w:val="231F20"/>
                <w:sz w:val="24"/>
                <w:szCs w:val="24"/>
              </w:rPr>
              <w:t>We should seek the best local solutions to continue the safe management of patients on anticoagulation while protecting resources for the response to coronavirus.</w:t>
            </w:r>
            <w:r w:rsidRPr="00BF16A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C6154E" w:rsidRPr="008D0875" w:rsidRDefault="003B79E4" w:rsidP="00BF16A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6154E" w:rsidRPr="00C6154E">
                <w:rPr>
                  <w:rStyle w:val="Hyperlink"/>
                  <w:rFonts w:ascii="Arial" w:hAnsi="Arial" w:cs="Arial"/>
                  <w:sz w:val="24"/>
                  <w:szCs w:val="24"/>
                </w:rPr>
                <w:t>NHSE&amp;I Clinical guide for the management of anticoagulant services during the coronavirus pandemic</w:t>
              </w:r>
            </w:hyperlink>
          </w:p>
        </w:tc>
      </w:tr>
      <w:tr w:rsidR="00F7594B" w:rsidRPr="008D0875" w:rsidTr="00577A91">
        <w:tc>
          <w:tcPr>
            <w:tcW w:w="10682" w:type="dxa"/>
            <w:shd w:val="clear" w:color="auto" w:fill="auto"/>
          </w:tcPr>
          <w:p w:rsidR="00F7594B" w:rsidRPr="00BF16A3" w:rsidRDefault="00F7594B" w:rsidP="00BF16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16A3">
              <w:rPr>
                <w:rFonts w:ascii="Arial" w:hAnsi="Arial" w:cs="Arial"/>
                <w:sz w:val="24"/>
                <w:szCs w:val="24"/>
              </w:rPr>
              <w:t>This is an opportunity to review the need for anticoagulation in all patients on warfarin. Is it time to stop or consider an alternative method of treatment with DOACs?</w:t>
            </w:r>
          </w:p>
        </w:tc>
      </w:tr>
      <w:tr w:rsidR="001420DA" w:rsidRPr="008D0875" w:rsidTr="00577A91">
        <w:tc>
          <w:tcPr>
            <w:tcW w:w="10682" w:type="dxa"/>
            <w:shd w:val="clear" w:color="auto" w:fill="auto"/>
          </w:tcPr>
          <w:p w:rsidR="001420DA" w:rsidRPr="00BF16A3" w:rsidRDefault="00B86480" w:rsidP="00BF16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16A3">
              <w:rPr>
                <w:rFonts w:ascii="Arial" w:hAnsi="Arial" w:cs="Arial"/>
                <w:sz w:val="24"/>
                <w:szCs w:val="24"/>
              </w:rPr>
              <w:t xml:space="preserve">All proposed switches to DOACs should be compliant with </w:t>
            </w:r>
            <w:hyperlink r:id="rId8" w:history="1">
              <w:r w:rsidRPr="00BF16A3">
                <w:rPr>
                  <w:rStyle w:val="Hyperlink"/>
                  <w:rFonts w:ascii="Arial" w:hAnsi="Arial" w:cs="Arial"/>
                  <w:sz w:val="24"/>
                  <w:szCs w:val="24"/>
                </w:rPr>
                <w:t>recent national guidance</w:t>
              </w:r>
            </w:hyperlink>
            <w:r w:rsidR="00C6154E" w:rsidRPr="00C6154E">
              <w:t xml:space="preserve"> </w:t>
            </w:r>
            <w:r w:rsidR="00C6154E" w:rsidRPr="00BF16A3">
              <w:rPr>
                <w:rFonts w:ascii="Arial" w:hAnsi="Arial" w:cs="Arial"/>
                <w:sz w:val="24"/>
                <w:szCs w:val="24"/>
              </w:rPr>
              <w:t>for the safe switching of warfarin to direct oral anticoagulants (DOACs) for patients with non-</w:t>
            </w:r>
            <w:proofErr w:type="spellStart"/>
            <w:r w:rsidR="00C6154E" w:rsidRPr="00BF16A3">
              <w:rPr>
                <w:rFonts w:ascii="Arial" w:hAnsi="Arial" w:cs="Arial"/>
                <w:sz w:val="24"/>
                <w:szCs w:val="24"/>
              </w:rPr>
              <w:t>valvular</w:t>
            </w:r>
            <w:proofErr w:type="spellEnd"/>
            <w:r w:rsidR="00C6154E" w:rsidRPr="00BF16A3">
              <w:rPr>
                <w:rFonts w:ascii="Arial" w:hAnsi="Arial" w:cs="Arial"/>
                <w:sz w:val="24"/>
                <w:szCs w:val="24"/>
              </w:rPr>
              <w:t xml:space="preserve"> AF and venous thromboembolism (DVT / PE) during the coronavirus pandemic (RCGP and BHS endorsed)</w:t>
            </w:r>
          </w:p>
        </w:tc>
      </w:tr>
      <w:tr w:rsidR="00BF16A3" w:rsidRPr="008D0875" w:rsidTr="00577A91">
        <w:tc>
          <w:tcPr>
            <w:tcW w:w="10682" w:type="dxa"/>
            <w:shd w:val="clear" w:color="auto" w:fill="auto"/>
          </w:tcPr>
          <w:p w:rsidR="00BF16A3" w:rsidRPr="00BF16A3" w:rsidRDefault="00BF16A3" w:rsidP="00BF16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16A3">
              <w:rPr>
                <w:rFonts w:ascii="Arial" w:hAnsi="Arial" w:cs="Arial"/>
                <w:sz w:val="24"/>
                <w:szCs w:val="24"/>
              </w:rPr>
              <w:t>Patients should only be switched from warfarin to a DOAC by clinicians in primary or secondary care with experience in managing anticoagula</w:t>
            </w:r>
            <w:r w:rsidR="00840549">
              <w:rPr>
                <w:rFonts w:ascii="Arial" w:hAnsi="Arial" w:cs="Arial"/>
                <w:sz w:val="24"/>
                <w:szCs w:val="24"/>
              </w:rPr>
              <w:t>tion (hitherto referred to as ‘S</w:t>
            </w:r>
            <w:r w:rsidRPr="00BF16A3">
              <w:rPr>
                <w:rFonts w:ascii="Arial" w:hAnsi="Arial" w:cs="Arial"/>
                <w:sz w:val="24"/>
                <w:szCs w:val="24"/>
              </w:rPr>
              <w:t>witching clinician’).</w:t>
            </w:r>
          </w:p>
        </w:tc>
      </w:tr>
      <w:tr w:rsidR="001420DA" w:rsidRPr="008D0875" w:rsidTr="00577A91">
        <w:tc>
          <w:tcPr>
            <w:tcW w:w="10682" w:type="dxa"/>
            <w:shd w:val="clear" w:color="auto" w:fill="auto"/>
          </w:tcPr>
          <w:p w:rsidR="00B86480" w:rsidRPr="00460F4B" w:rsidRDefault="00B86480" w:rsidP="008D087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Switching clinician to review whether anticoagulation is still safe and appropriate for the patient (check for anaemia, bleeding risks). </w:t>
            </w:r>
          </w:p>
          <w:p w:rsidR="001420DA" w:rsidRPr="00460F4B" w:rsidRDefault="00B86480" w:rsidP="008D087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Assess whether anticoagulation can be safely stopped (e.g. in patients with prior DVT / PE, where risk of recurrence is now considered low).</w:t>
            </w:r>
          </w:p>
        </w:tc>
      </w:tr>
      <w:tr w:rsidR="00B86480" w:rsidRPr="008D0875" w:rsidTr="00577A91">
        <w:tc>
          <w:tcPr>
            <w:tcW w:w="10682" w:type="dxa"/>
            <w:shd w:val="clear" w:color="auto" w:fill="auto"/>
          </w:tcPr>
          <w:p w:rsidR="00B86480" w:rsidRPr="00460F4B" w:rsidRDefault="00B86480" w:rsidP="008D087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 switch from warfarin to a DOAC should </w:t>
            </w:r>
            <w:r w:rsidRPr="00460F4B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be considered for patients: 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With a prosthetic mechanica</w:t>
            </w:r>
            <w:r w:rsidR="00BF16A3">
              <w:rPr>
                <w:rFonts w:ascii="Arial" w:hAnsi="Arial" w:cs="Arial"/>
                <w:sz w:val="24"/>
                <w:szCs w:val="24"/>
              </w:rPr>
              <w:t>l valve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With moderate to severe mitral stenosis 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With antiphospholipid antibody syndrome (APLS)</w:t>
            </w:r>
            <w:r w:rsidR="00BF16A3">
              <w:rPr>
                <w:rFonts w:ascii="Arial" w:hAnsi="Arial" w:cs="Arial"/>
                <w:sz w:val="24"/>
                <w:szCs w:val="24"/>
              </w:rPr>
              <w:t xml:space="preserve"> – seek specialist haematology advice</w:t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Who are pregnant, breastfeeding or planning a pregnancy 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Requiring a higher INR than the standard INR range of 2.0 – 3.0 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With severe renal impairment - Creatinine Clearance (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CrCl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) &lt; 15ml/min 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With active malignancy/ chemotherapy (unless advised by a specialist) 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Prescribed interacting drugs, especially </w:t>
            </w:r>
          </w:p>
          <w:p w:rsidR="00B86480" w:rsidRPr="00460F4B" w:rsidRDefault="00B86480" w:rsidP="008D0875">
            <w:pPr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Some HIV 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antiretrovirals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 and hepatitis antivirals - check with HIV drug interactions website at </w:t>
            </w:r>
            <w:hyperlink r:id="rId9" w:history="1">
              <w:r w:rsidRPr="00460F4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https://www.hiv-druginteractions.org/</w:t>
              </w:r>
            </w:hyperlink>
            <w:r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6480" w:rsidRPr="00460F4B" w:rsidRDefault="00B86480" w:rsidP="008D0875">
            <w:pPr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Some 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antiepileptics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 - phenytoin, carbamazepine, 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phenobarbitone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 or rifampicin (likely to reduce DOAC levels so discuss with an anticoagulation specialist)</w:t>
            </w:r>
          </w:p>
          <w:p w:rsidR="00B86480" w:rsidRPr="00460F4B" w:rsidRDefault="00B86480" w:rsidP="008D087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On triple therapy (dual antiplatelet therapy plus warfarin) without discussing with an anticoagulant specialist or cardiologist </w:t>
            </w:r>
          </w:p>
          <w:p w:rsidR="00BF16A3" w:rsidRPr="00BF16A3" w:rsidRDefault="00B86480" w:rsidP="00BF16A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With venous thrombosis at unusual sites (e.g. portal vein thrombosis) - discuss with an anticoagulation specialist but there is now some evidence to support the use of DOACs (dabigatran may be best).</w:t>
            </w:r>
          </w:p>
        </w:tc>
      </w:tr>
      <w:tr w:rsidR="00BF16A3" w:rsidRPr="008D0875" w:rsidTr="00577A91">
        <w:tc>
          <w:tcPr>
            <w:tcW w:w="10682" w:type="dxa"/>
            <w:shd w:val="clear" w:color="auto" w:fill="auto"/>
          </w:tcPr>
          <w:p w:rsidR="00BF16A3" w:rsidRPr="00BF16A3" w:rsidRDefault="00BF16A3" w:rsidP="00BF16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Caution/ seek specialist advice for the following patients: </w:t>
            </w:r>
          </w:p>
          <w:p w:rsidR="00BF16A3" w:rsidRPr="00BF16A3" w:rsidRDefault="00BF16A3" w:rsidP="00840549">
            <w:pPr>
              <w:numPr>
                <w:ilvl w:val="0"/>
                <w:numId w:val="2"/>
              </w:num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</w:t>
            </w:r>
            <w:proofErr w:type="spellStart"/>
            <w:r w:rsidR="00840549">
              <w:rPr>
                <w:rFonts w:ascii="Arial" w:hAnsi="Arial" w:cs="Arial"/>
              </w:rPr>
              <w:t>thrombophilias</w:t>
            </w:r>
            <w:proofErr w:type="spellEnd"/>
            <w:r w:rsidR="00840549">
              <w:rPr>
                <w:rFonts w:ascii="Arial" w:hAnsi="Arial" w:cs="Arial"/>
              </w:rPr>
              <w:t xml:space="preserve"> e.g. F</w:t>
            </w:r>
            <w:r>
              <w:rPr>
                <w:rFonts w:ascii="Arial" w:hAnsi="Arial" w:cs="Arial"/>
              </w:rPr>
              <w:t>actor V L</w:t>
            </w:r>
            <w:r w:rsidRPr="00BF16A3">
              <w:rPr>
                <w:rFonts w:ascii="Arial" w:hAnsi="Arial" w:cs="Arial"/>
              </w:rPr>
              <w:t xml:space="preserve">eiden </w:t>
            </w:r>
            <w:r w:rsidR="00840549">
              <w:rPr>
                <w:rFonts w:ascii="Arial" w:hAnsi="Arial" w:cs="Arial"/>
              </w:rPr>
              <w:t xml:space="preserve">thrombophilia </w:t>
            </w:r>
            <w:r w:rsidRPr="00BF16A3">
              <w:rPr>
                <w:rFonts w:ascii="Arial" w:hAnsi="Arial" w:cs="Arial"/>
              </w:rPr>
              <w:t>who are being managed with warfarin range 2-3</w:t>
            </w:r>
          </w:p>
          <w:p w:rsidR="00BF16A3" w:rsidRPr="00BF16A3" w:rsidRDefault="00BF16A3" w:rsidP="00840549">
            <w:pPr>
              <w:numPr>
                <w:ilvl w:val="0"/>
                <w:numId w:val="2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BF16A3">
              <w:rPr>
                <w:rFonts w:ascii="Arial" w:hAnsi="Arial" w:cs="Arial"/>
                <w:sz w:val="24"/>
                <w:szCs w:val="24"/>
              </w:rPr>
              <w:t>ith cardiomyopathy</w:t>
            </w:r>
          </w:p>
          <w:p w:rsidR="00BF16A3" w:rsidRPr="00BF16A3" w:rsidRDefault="00BF16A3" w:rsidP="00840549">
            <w:pPr>
              <w:numPr>
                <w:ilvl w:val="0"/>
                <w:numId w:val="2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BF16A3">
              <w:rPr>
                <w:rFonts w:ascii="Arial" w:hAnsi="Arial" w:cs="Arial"/>
                <w:sz w:val="24"/>
                <w:szCs w:val="24"/>
              </w:rPr>
              <w:t>ith non-mechanical, prosthetic valves</w:t>
            </w:r>
          </w:p>
        </w:tc>
      </w:tr>
    </w:tbl>
    <w:p w:rsidR="00577A91" w:rsidRPr="008D0875" w:rsidRDefault="00577A91" w:rsidP="008D0875">
      <w:pPr>
        <w:spacing w:after="0"/>
        <w:rPr>
          <w:rFonts w:ascii="Arial" w:hAnsi="Arial" w:cs="Arial"/>
          <w:sz w:val="24"/>
          <w:szCs w:val="24"/>
        </w:rPr>
      </w:pPr>
    </w:p>
    <w:p w:rsidR="008D0875" w:rsidRDefault="008D0875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28"/>
        <w:gridCol w:w="7784"/>
        <w:gridCol w:w="2028"/>
      </w:tblGrid>
      <w:tr w:rsidR="00577A91" w:rsidRPr="00830814" w:rsidTr="008D0875">
        <w:tc>
          <w:tcPr>
            <w:tcW w:w="10740" w:type="dxa"/>
            <w:gridSpan w:val="3"/>
            <w:shd w:val="clear" w:color="auto" w:fill="auto"/>
          </w:tcPr>
          <w:p w:rsidR="00577A91" w:rsidRDefault="00577A91" w:rsidP="00577A9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77A91" w:rsidRDefault="00577A91" w:rsidP="00577A9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77A91">
              <w:rPr>
                <w:rFonts w:ascii="Arial" w:hAnsi="Arial" w:cs="Arial"/>
                <w:b/>
                <w:caps/>
                <w:sz w:val="24"/>
                <w:szCs w:val="24"/>
              </w:rPr>
              <w:t>Process for switching from warfarin to a DOAC in GP practice</w:t>
            </w:r>
          </w:p>
          <w:p w:rsidR="00577A91" w:rsidRPr="00577A91" w:rsidRDefault="00577A91" w:rsidP="00577A9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70419C" w:rsidRPr="00830814" w:rsidTr="008D0875">
        <w:tc>
          <w:tcPr>
            <w:tcW w:w="928" w:type="dxa"/>
            <w:shd w:val="clear" w:color="auto" w:fill="B8CCE4" w:themeFill="accent1" w:themeFillTint="66"/>
          </w:tcPr>
          <w:p w:rsidR="0070419C" w:rsidRPr="00830814" w:rsidRDefault="00254468" w:rsidP="00704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STEP:</w:t>
            </w:r>
          </w:p>
        </w:tc>
        <w:tc>
          <w:tcPr>
            <w:tcW w:w="7784" w:type="dxa"/>
            <w:shd w:val="clear" w:color="auto" w:fill="B8CCE4" w:themeFill="accent1" w:themeFillTint="66"/>
          </w:tcPr>
          <w:p w:rsidR="0070419C" w:rsidRPr="00830814" w:rsidRDefault="0070419C" w:rsidP="00704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814">
              <w:rPr>
                <w:rFonts w:ascii="Arial" w:hAnsi="Arial" w:cs="Arial"/>
                <w:b/>
                <w:sz w:val="24"/>
                <w:szCs w:val="24"/>
              </w:rPr>
              <w:t>DETAIL:</w:t>
            </w:r>
          </w:p>
        </w:tc>
        <w:tc>
          <w:tcPr>
            <w:tcW w:w="2028" w:type="dxa"/>
            <w:shd w:val="clear" w:color="auto" w:fill="B8CCE4" w:themeFill="accent1" w:themeFillTint="66"/>
          </w:tcPr>
          <w:p w:rsidR="0070419C" w:rsidRPr="00830814" w:rsidRDefault="0070419C" w:rsidP="00704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814">
              <w:rPr>
                <w:rFonts w:ascii="Arial" w:hAnsi="Arial" w:cs="Arial"/>
                <w:b/>
                <w:sz w:val="24"/>
                <w:szCs w:val="24"/>
              </w:rPr>
              <w:t>PERSON RESPONSIBLE:</w:t>
            </w:r>
          </w:p>
        </w:tc>
      </w:tr>
      <w:tr w:rsidR="004513B3" w:rsidRPr="00460F4B" w:rsidTr="008D0875">
        <w:trPr>
          <w:trHeight w:val="859"/>
        </w:trPr>
        <w:tc>
          <w:tcPr>
            <w:tcW w:w="928" w:type="dxa"/>
          </w:tcPr>
          <w:p w:rsidR="004513B3" w:rsidRPr="00460F4B" w:rsidRDefault="004513B3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84" w:type="dxa"/>
          </w:tcPr>
          <w:p w:rsidR="00577A91" w:rsidRPr="00460F4B" w:rsidRDefault="004513B3" w:rsidP="00D74023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Ensure local community pharmacies are made aware of the likely increase in the usage of DOACs. </w:t>
            </w:r>
          </w:p>
          <w:p w:rsidR="00577A91" w:rsidRPr="00460F4B" w:rsidRDefault="004513B3" w:rsidP="00D74023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E</w:t>
            </w:r>
            <w:r w:rsidR="006E338A" w:rsidRPr="00460F4B">
              <w:rPr>
                <w:rFonts w:ascii="Arial" w:hAnsi="Arial" w:cs="Arial"/>
                <w:sz w:val="24"/>
                <w:szCs w:val="24"/>
              </w:rPr>
              <w:t>nsure adequate supplies of a</w:t>
            </w:r>
            <w:r w:rsidRPr="00460F4B">
              <w:rPr>
                <w:rFonts w:ascii="Arial" w:hAnsi="Arial" w:cs="Arial"/>
                <w:sz w:val="24"/>
                <w:szCs w:val="24"/>
              </w:rPr>
              <w:t>nticoagulant cards to give out with first issue of DOAC.</w:t>
            </w:r>
            <w:r w:rsidR="00D74023"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13B3" w:rsidRPr="00460F4B" w:rsidRDefault="00D74023" w:rsidP="00D74023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Ideally switches should be undertaken in a staged way rather than as a mass exercise, to safeguard stocks.</w:t>
            </w:r>
          </w:p>
        </w:tc>
        <w:tc>
          <w:tcPr>
            <w:tcW w:w="2028" w:type="dxa"/>
          </w:tcPr>
          <w:p w:rsidR="004513B3" w:rsidRPr="00460F4B" w:rsidRDefault="00577A91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="004513B3" w:rsidRPr="00460F4B"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 w:rsidR="004513B3" w:rsidRPr="00460F4B">
              <w:rPr>
                <w:rFonts w:ascii="Arial" w:hAnsi="Arial" w:cs="Arial"/>
                <w:sz w:val="24"/>
                <w:szCs w:val="24"/>
              </w:rPr>
              <w:t>/ Practice Staff</w:t>
            </w:r>
          </w:p>
          <w:p w:rsidR="00577A91" w:rsidRPr="00460F4B" w:rsidRDefault="00577A91" w:rsidP="0057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F4B">
              <w:rPr>
                <w:rFonts w:ascii="Arial" w:hAnsi="Arial" w:cs="Arial"/>
                <w:i/>
                <w:sz w:val="20"/>
                <w:szCs w:val="20"/>
              </w:rPr>
              <w:t>*</w:t>
            </w:r>
            <w:proofErr w:type="spellStart"/>
            <w:r w:rsidRPr="00460F4B">
              <w:rPr>
                <w:rFonts w:ascii="Arial" w:hAnsi="Arial" w:cs="Arial"/>
                <w:i/>
                <w:sz w:val="20"/>
                <w:szCs w:val="20"/>
              </w:rPr>
              <w:t>PhP</w:t>
            </w:r>
            <w:proofErr w:type="spellEnd"/>
            <w:r w:rsidRPr="00460F4B">
              <w:rPr>
                <w:rFonts w:ascii="Arial" w:hAnsi="Arial" w:cs="Arial"/>
                <w:i/>
                <w:sz w:val="20"/>
                <w:szCs w:val="20"/>
              </w:rPr>
              <w:t xml:space="preserve"> refers to Pharmacy Professional (MOT member or PCN pharmacist)</w:t>
            </w:r>
          </w:p>
        </w:tc>
      </w:tr>
      <w:tr w:rsidR="004513B3" w:rsidRPr="00460F4B" w:rsidTr="008D0875">
        <w:trPr>
          <w:trHeight w:val="552"/>
        </w:trPr>
        <w:tc>
          <w:tcPr>
            <w:tcW w:w="928" w:type="dxa"/>
          </w:tcPr>
          <w:p w:rsidR="004513B3" w:rsidRPr="00460F4B" w:rsidRDefault="004513B3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84" w:type="dxa"/>
          </w:tcPr>
          <w:p w:rsidR="004513B3" w:rsidRPr="00460F4B" w:rsidRDefault="004513B3" w:rsidP="005D0EC4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Produce lists of patients currently prescribed warfarin for </w:t>
            </w:r>
            <w:r w:rsidR="00460F4B">
              <w:rPr>
                <w:rFonts w:ascii="Arial" w:hAnsi="Arial" w:cs="Arial"/>
                <w:sz w:val="24"/>
                <w:szCs w:val="24"/>
              </w:rPr>
              <w:t>S</w:t>
            </w:r>
            <w:r w:rsidRPr="00460F4B">
              <w:rPr>
                <w:rFonts w:ascii="Arial" w:hAnsi="Arial" w:cs="Arial"/>
                <w:sz w:val="24"/>
                <w:szCs w:val="24"/>
              </w:rPr>
              <w:t>witch</w:t>
            </w:r>
            <w:r w:rsidR="00460F4B">
              <w:rPr>
                <w:rFonts w:ascii="Arial" w:hAnsi="Arial" w:cs="Arial"/>
                <w:sz w:val="24"/>
                <w:szCs w:val="24"/>
              </w:rPr>
              <w:t>ing</w:t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clinicians using GP clinical system searches provided </w:t>
            </w:r>
          </w:p>
        </w:tc>
        <w:tc>
          <w:tcPr>
            <w:tcW w:w="2028" w:type="dxa"/>
          </w:tcPr>
          <w:p w:rsidR="004513B3" w:rsidRPr="00460F4B" w:rsidRDefault="004513B3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>/ Practice Staff</w:t>
            </w:r>
          </w:p>
        </w:tc>
      </w:tr>
      <w:tr w:rsidR="004513B3" w:rsidRPr="00460F4B" w:rsidTr="008D0875">
        <w:trPr>
          <w:trHeight w:val="534"/>
        </w:trPr>
        <w:tc>
          <w:tcPr>
            <w:tcW w:w="928" w:type="dxa"/>
          </w:tcPr>
          <w:p w:rsidR="004513B3" w:rsidRPr="00460F4B" w:rsidRDefault="004513B3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84" w:type="dxa"/>
          </w:tcPr>
          <w:p w:rsidR="004513B3" w:rsidRPr="00460F4B" w:rsidRDefault="004513B3" w:rsidP="00440AD6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Identify patients taking warfarin without a coding for Mechanical Heart Valves, Antiphospholipid Syndrome, or DOAC (NOAC) Contraindicated/ Not Indicated / Not Tolerated.</w:t>
            </w:r>
            <w:r w:rsidR="00460F4B">
              <w:rPr>
                <w:rFonts w:ascii="Arial" w:hAnsi="Arial" w:cs="Arial"/>
                <w:sz w:val="24"/>
                <w:szCs w:val="24"/>
              </w:rPr>
              <w:t xml:space="preserve"> Exclude other patients as above</w:t>
            </w:r>
            <w:r w:rsidRPr="00460F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4513B3" w:rsidRPr="00460F4B" w:rsidRDefault="004513B3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>/ Practice Staff</w:t>
            </w:r>
          </w:p>
          <w:p w:rsidR="00577A91" w:rsidRPr="00460F4B" w:rsidRDefault="00577A91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91" w:rsidRPr="00460F4B" w:rsidTr="008D0875">
        <w:trPr>
          <w:trHeight w:val="534"/>
        </w:trPr>
        <w:tc>
          <w:tcPr>
            <w:tcW w:w="928" w:type="dxa"/>
          </w:tcPr>
          <w:p w:rsidR="00577A91" w:rsidRPr="00460F4B" w:rsidRDefault="00577A91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84" w:type="dxa"/>
          </w:tcPr>
          <w:p w:rsidR="00577A91" w:rsidRPr="00460F4B" w:rsidRDefault="00577A91" w:rsidP="00440AD6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Switching clinician to review list and indicate which patients might be suitable for a switch.</w:t>
            </w:r>
          </w:p>
        </w:tc>
        <w:tc>
          <w:tcPr>
            <w:tcW w:w="2028" w:type="dxa"/>
          </w:tcPr>
          <w:p w:rsidR="00577A91" w:rsidRPr="00460F4B" w:rsidRDefault="00577A91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Switching clinician</w:t>
            </w:r>
          </w:p>
        </w:tc>
      </w:tr>
      <w:tr w:rsidR="00D74023" w:rsidRPr="00460F4B" w:rsidTr="008D0875">
        <w:trPr>
          <w:trHeight w:val="534"/>
        </w:trPr>
        <w:tc>
          <w:tcPr>
            <w:tcW w:w="928" w:type="dxa"/>
          </w:tcPr>
          <w:p w:rsidR="00D74023" w:rsidRPr="00460F4B" w:rsidRDefault="00577A91" w:rsidP="00D74023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7784" w:type="dxa"/>
          </w:tcPr>
          <w:p w:rsidR="00D74023" w:rsidRPr="00460F4B" w:rsidRDefault="00D74023" w:rsidP="00CF6575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No changes should be made without a conversation with the patient. 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 xml:space="preserve">Contact patient/ carer to discuss proposed change. Use </w:t>
            </w:r>
            <w:hyperlink r:id="rId10" w:history="1">
              <w:r w:rsidR="00CF6575" w:rsidRPr="00460F4B">
                <w:rPr>
                  <w:rStyle w:val="Hyperlink"/>
                  <w:rFonts w:ascii="Arial" w:hAnsi="Arial" w:cs="Arial"/>
                  <w:sz w:val="24"/>
                  <w:szCs w:val="24"/>
                </w:rPr>
                <w:t>DOAC Counselling Checklist</w:t>
              </w:r>
            </w:hyperlink>
            <w:r w:rsidR="00CF6575" w:rsidRPr="00460F4B">
              <w:rPr>
                <w:rFonts w:ascii="Arial" w:hAnsi="Arial" w:cs="Arial"/>
                <w:sz w:val="24"/>
                <w:szCs w:val="24"/>
              </w:rPr>
              <w:t>. C</w:t>
            </w:r>
            <w:r w:rsidRPr="00460F4B">
              <w:rPr>
                <w:rFonts w:ascii="Arial" w:hAnsi="Arial" w:cs="Arial"/>
                <w:sz w:val="24"/>
                <w:szCs w:val="24"/>
              </w:rPr>
              <w:t>heck hospital anticoagulation team have not already made the switch (anecdotal reports of this being duplicated)</w:t>
            </w:r>
            <w:r w:rsidR="008D0875" w:rsidRPr="00460F4B">
              <w:rPr>
                <w:rFonts w:ascii="Arial" w:hAnsi="Arial" w:cs="Arial"/>
                <w:sz w:val="24"/>
                <w:szCs w:val="24"/>
              </w:rPr>
              <w:t xml:space="preserve">. Ask </w:t>
            </w:r>
            <w:r w:rsidR="00460F4B">
              <w:rPr>
                <w:rFonts w:ascii="Arial" w:hAnsi="Arial" w:cs="Arial"/>
                <w:sz w:val="24"/>
                <w:szCs w:val="24"/>
              </w:rPr>
              <w:t xml:space="preserve">patient/ carer </w:t>
            </w:r>
            <w:r w:rsidR="008D0875" w:rsidRPr="00460F4B">
              <w:rPr>
                <w:rFonts w:ascii="Arial" w:hAnsi="Arial" w:cs="Arial"/>
                <w:sz w:val="24"/>
                <w:szCs w:val="24"/>
              </w:rPr>
              <w:t>for up-to-date weight.</w:t>
            </w:r>
          </w:p>
        </w:tc>
        <w:tc>
          <w:tcPr>
            <w:tcW w:w="2028" w:type="dxa"/>
          </w:tcPr>
          <w:p w:rsidR="00D74023" w:rsidRPr="00460F4B" w:rsidRDefault="00D74023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>/ Switching clinician</w:t>
            </w:r>
          </w:p>
        </w:tc>
      </w:tr>
      <w:tr w:rsidR="004513B3" w:rsidRPr="00460F4B" w:rsidTr="008D0875">
        <w:trPr>
          <w:trHeight w:val="594"/>
        </w:trPr>
        <w:tc>
          <w:tcPr>
            <w:tcW w:w="928" w:type="dxa"/>
          </w:tcPr>
          <w:p w:rsidR="004513B3" w:rsidRPr="00460F4B" w:rsidRDefault="004513B3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84" w:type="dxa"/>
          </w:tcPr>
          <w:p w:rsidR="004513B3" w:rsidRPr="00460F4B" w:rsidRDefault="004513B3" w:rsidP="005D0EC4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Check clinical system for recent FBC, U&amp;Es, LFTs (within last 3 months)</w:t>
            </w:r>
          </w:p>
        </w:tc>
        <w:tc>
          <w:tcPr>
            <w:tcW w:w="2028" w:type="dxa"/>
          </w:tcPr>
          <w:p w:rsidR="004513B3" w:rsidRPr="00460F4B" w:rsidRDefault="004513B3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 w:rsidR="00460F4B">
              <w:rPr>
                <w:rFonts w:ascii="Arial" w:hAnsi="Arial" w:cs="Arial"/>
                <w:sz w:val="24"/>
                <w:szCs w:val="24"/>
              </w:rPr>
              <w:t>/ S</w:t>
            </w:r>
            <w:r w:rsidRPr="00460F4B">
              <w:rPr>
                <w:rFonts w:ascii="Arial" w:hAnsi="Arial" w:cs="Arial"/>
                <w:sz w:val="24"/>
                <w:szCs w:val="24"/>
              </w:rPr>
              <w:t>witching clinician</w:t>
            </w:r>
          </w:p>
        </w:tc>
      </w:tr>
      <w:tr w:rsidR="00CF6575" w:rsidRPr="00460F4B" w:rsidTr="008D0875">
        <w:trPr>
          <w:trHeight w:val="594"/>
        </w:trPr>
        <w:tc>
          <w:tcPr>
            <w:tcW w:w="928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7784" w:type="dxa"/>
          </w:tcPr>
          <w:p w:rsidR="00CF6575" w:rsidRPr="00460F4B" w:rsidRDefault="00CF6575" w:rsidP="00DD72E6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At next INR visit– check INR, record weight, take bloods if not already available or are unstable </w:t>
            </w:r>
          </w:p>
        </w:tc>
        <w:tc>
          <w:tcPr>
            <w:tcW w:w="2028" w:type="dxa"/>
          </w:tcPr>
          <w:p w:rsidR="00CF6575" w:rsidRPr="00460F4B" w:rsidRDefault="00CF6575" w:rsidP="00DD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Practice staff</w:t>
            </w:r>
          </w:p>
        </w:tc>
      </w:tr>
      <w:tr w:rsidR="00CF6575" w:rsidRPr="00460F4B" w:rsidTr="008D0875">
        <w:trPr>
          <w:trHeight w:val="594"/>
        </w:trPr>
        <w:tc>
          <w:tcPr>
            <w:tcW w:w="928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84" w:type="dxa"/>
          </w:tcPr>
          <w:p w:rsidR="00CF6575" w:rsidRPr="00460F4B" w:rsidRDefault="00CF6575" w:rsidP="00DD72E6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Calculate creatinine clearance (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CrCl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CF6575" w:rsidRPr="00460F4B" w:rsidRDefault="00460F4B" w:rsidP="00DD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witching clinician</w:t>
            </w:r>
          </w:p>
        </w:tc>
      </w:tr>
      <w:tr w:rsidR="00CF6575" w:rsidRPr="00460F4B" w:rsidTr="008D0875">
        <w:trPr>
          <w:trHeight w:val="281"/>
        </w:trPr>
        <w:tc>
          <w:tcPr>
            <w:tcW w:w="928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84" w:type="dxa"/>
          </w:tcPr>
          <w:p w:rsidR="006262D0" w:rsidRPr="00460F4B" w:rsidRDefault="008D0875" w:rsidP="006262D0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Record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 xml:space="preserve"> suitability for switch</w:t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to DOAC in patient record.</w:t>
            </w:r>
            <w:r w:rsidR="006262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6575" w:rsidRPr="00460F4B" w:rsidRDefault="00CF6575" w:rsidP="00626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6575" w:rsidRPr="00460F4B" w:rsidRDefault="00CF6575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Switching clinician</w:t>
            </w:r>
          </w:p>
        </w:tc>
      </w:tr>
      <w:tr w:rsidR="00CF6575" w:rsidRPr="00460F4B" w:rsidTr="008D0875">
        <w:trPr>
          <w:trHeight w:val="594"/>
        </w:trPr>
        <w:tc>
          <w:tcPr>
            <w:tcW w:w="928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784" w:type="dxa"/>
          </w:tcPr>
          <w:p w:rsidR="006262D0" w:rsidRDefault="006262D0" w:rsidP="006262D0">
            <w:pPr>
              <w:rPr>
                <w:rFonts w:ascii="Arial" w:hAnsi="Arial" w:cs="Arial"/>
                <w:sz w:val="24"/>
                <w:szCs w:val="24"/>
              </w:rPr>
            </w:pPr>
            <w:r w:rsidRPr="006262D0">
              <w:rPr>
                <w:rFonts w:ascii="Arial" w:hAnsi="Arial" w:cs="Arial"/>
                <w:sz w:val="24"/>
                <w:szCs w:val="24"/>
              </w:rPr>
              <w:t xml:space="preserve">Choose DOAC drug and dose according to the therapeutic indication, patient age, actual bodyweight, </w:t>
            </w:r>
            <w:proofErr w:type="gramStart"/>
            <w:r w:rsidRPr="006262D0">
              <w:rPr>
                <w:rFonts w:ascii="Arial" w:hAnsi="Arial" w:cs="Arial"/>
                <w:sz w:val="24"/>
                <w:szCs w:val="24"/>
              </w:rPr>
              <w:t>renal</w:t>
            </w:r>
            <w:proofErr w:type="gramEnd"/>
            <w:r w:rsidRPr="006262D0">
              <w:rPr>
                <w:rFonts w:ascii="Arial" w:hAnsi="Arial" w:cs="Arial"/>
                <w:sz w:val="24"/>
                <w:szCs w:val="24"/>
              </w:rPr>
              <w:t xml:space="preserve"> function </w:t>
            </w:r>
            <w:r w:rsidRPr="006262D0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6262D0">
              <w:rPr>
                <w:rFonts w:ascii="Arial" w:hAnsi="Arial" w:cs="Arial"/>
                <w:sz w:val="24"/>
                <w:szCs w:val="24"/>
              </w:rPr>
              <w:t xml:space="preserve"> calculated Creatinine Clearance (</w:t>
            </w:r>
            <w:proofErr w:type="spellStart"/>
            <w:r w:rsidRPr="006262D0">
              <w:rPr>
                <w:rFonts w:ascii="Arial" w:hAnsi="Arial" w:cs="Arial"/>
                <w:sz w:val="24"/>
                <w:szCs w:val="24"/>
              </w:rPr>
              <w:t>CrCl</w:t>
            </w:r>
            <w:proofErr w:type="spellEnd"/>
            <w:r w:rsidRPr="006262D0">
              <w:rPr>
                <w:rFonts w:ascii="Arial" w:hAnsi="Arial" w:cs="Arial"/>
                <w:sz w:val="24"/>
                <w:szCs w:val="24"/>
              </w:rPr>
              <w:t xml:space="preserve">), drug interactions and patient preference/lifestyle. </w:t>
            </w:r>
          </w:p>
          <w:p w:rsidR="006262D0" w:rsidRPr="006262D0" w:rsidRDefault="006262D0" w:rsidP="006262D0">
            <w:pPr>
              <w:rPr>
                <w:rFonts w:ascii="Arial" w:hAnsi="Arial" w:cs="Arial"/>
                <w:sz w:val="24"/>
                <w:szCs w:val="24"/>
              </w:rPr>
            </w:pPr>
            <w:r w:rsidRPr="006262D0">
              <w:rPr>
                <w:rFonts w:ascii="Arial" w:hAnsi="Arial" w:cs="Arial"/>
                <w:sz w:val="24"/>
                <w:szCs w:val="24"/>
              </w:rPr>
              <w:t>As per NICE guidance, where more than one DOAC is available for the indication, the product with the lowest acquisition cost should be used.</w:t>
            </w:r>
          </w:p>
          <w:p w:rsidR="006262D0" w:rsidRDefault="006262D0" w:rsidP="006262D0">
            <w:pPr>
              <w:rPr>
                <w:rFonts w:ascii="Arial" w:hAnsi="Arial" w:cs="Arial"/>
                <w:sz w:val="24"/>
                <w:szCs w:val="24"/>
              </w:rPr>
            </w:pPr>
            <w:r w:rsidRPr="006262D0">
              <w:rPr>
                <w:rFonts w:ascii="Arial" w:hAnsi="Arial" w:cs="Arial"/>
                <w:sz w:val="24"/>
                <w:szCs w:val="24"/>
              </w:rPr>
              <w:t xml:space="preserve">Note: WHCCG preferred formulary choice of DOAC for </w:t>
            </w:r>
            <w:r w:rsidRPr="006262D0">
              <w:rPr>
                <w:rFonts w:ascii="Arial" w:hAnsi="Arial" w:cs="Arial"/>
                <w:i/>
                <w:sz w:val="24"/>
                <w:szCs w:val="24"/>
              </w:rPr>
              <w:t>stroke prevention in atrial fibrillation</w:t>
            </w:r>
            <w:r w:rsidRPr="006262D0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6262D0">
              <w:rPr>
                <w:rFonts w:ascii="Arial" w:hAnsi="Arial" w:cs="Arial"/>
                <w:sz w:val="24"/>
                <w:szCs w:val="24"/>
              </w:rPr>
              <w:t>edoxaban</w:t>
            </w:r>
            <w:proofErr w:type="spellEnd"/>
            <w:r w:rsidRPr="006262D0">
              <w:rPr>
                <w:rFonts w:ascii="Arial" w:hAnsi="Arial" w:cs="Arial"/>
                <w:sz w:val="24"/>
                <w:szCs w:val="24"/>
              </w:rPr>
              <w:t xml:space="preserve"> unless there are clinical reasons for selecting an alternative.</w:t>
            </w:r>
          </w:p>
          <w:p w:rsidR="00CF6575" w:rsidRPr="00460F4B" w:rsidRDefault="00CF6575" w:rsidP="00840549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Prescribe DOAC at appropriate dose and advise patient to obtain supplies. </w:t>
            </w:r>
            <w:r w:rsidR="00840549">
              <w:rPr>
                <w:rFonts w:ascii="Arial" w:hAnsi="Arial" w:cs="Arial"/>
                <w:sz w:val="24"/>
                <w:szCs w:val="24"/>
              </w:rPr>
              <w:t xml:space="preserve">Use </w:t>
            </w:r>
            <w:hyperlink r:id="rId11" w:history="1">
              <w:r w:rsidRPr="00460F4B">
                <w:rPr>
                  <w:rStyle w:val="Hyperlink"/>
                  <w:rFonts w:ascii="Arial" w:hAnsi="Arial" w:cs="Arial"/>
                  <w:sz w:val="24"/>
                  <w:szCs w:val="24"/>
                </w:rPr>
                <w:t>DOAC Counselling Checklist</w:t>
              </w:r>
            </w:hyperlink>
            <w:r w:rsidR="0073040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40549">
              <w:rPr>
                <w:rFonts w:ascii="Arial" w:hAnsi="Arial" w:cs="Arial"/>
                <w:sz w:val="24"/>
                <w:szCs w:val="24"/>
              </w:rPr>
              <w:t xml:space="preserve">confirm details in </w:t>
            </w:r>
            <w:r w:rsidR="00730405">
              <w:rPr>
                <w:rFonts w:ascii="Arial" w:hAnsi="Arial" w:cs="Arial"/>
                <w:sz w:val="24"/>
                <w:szCs w:val="24"/>
              </w:rPr>
              <w:t>Appendix I</w:t>
            </w:r>
            <w:r w:rsidRPr="00460F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CF6575" w:rsidRPr="00460F4B" w:rsidRDefault="00CF6575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Switching clinician</w:t>
            </w:r>
          </w:p>
        </w:tc>
      </w:tr>
      <w:tr w:rsidR="00CF6575" w:rsidRPr="00460F4B" w:rsidTr="008D0875">
        <w:trPr>
          <w:trHeight w:val="594"/>
        </w:trPr>
        <w:tc>
          <w:tcPr>
            <w:tcW w:w="928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784" w:type="dxa"/>
          </w:tcPr>
          <w:p w:rsidR="00CF6575" w:rsidRPr="00460F4B" w:rsidRDefault="00CF6575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Advise patient when to stop warfarin in relation to starting DOAC (INR should be &lt; 2.5 when DOAC is started) </w:t>
            </w:r>
          </w:p>
          <w:p w:rsidR="00CF6575" w:rsidRPr="00460F4B" w:rsidRDefault="00CF6575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 pragmatic approach to stopping warfarin and starting DOAC in relation to the INR can be used according to EHRA advice: </w:t>
            </w:r>
          </w:p>
          <w:p w:rsidR="00CF6575" w:rsidRPr="00460F4B" w:rsidRDefault="00CF6575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If INR &lt; 2: Commence DOAC that day </w:t>
            </w:r>
          </w:p>
          <w:p w:rsidR="00CF6575" w:rsidRPr="00460F4B" w:rsidRDefault="00CF6575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If INR between 2 and 2.5: Commence DOAC the next day (ideally) or the same day </w:t>
            </w:r>
          </w:p>
          <w:p w:rsidR="00CF6575" w:rsidRPr="00460F4B" w:rsidRDefault="00CF6575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If INR between 2.5 and 3: Withhold warfarin for 24-48 hours and then </w:t>
            </w:r>
            <w:r w:rsidRPr="00460F4B">
              <w:rPr>
                <w:rFonts w:ascii="Arial" w:hAnsi="Arial" w:cs="Arial"/>
                <w:sz w:val="24"/>
                <w:szCs w:val="24"/>
              </w:rPr>
              <w:lastRenderedPageBreak/>
              <w:t>initiate DOAC</w:t>
            </w:r>
          </w:p>
          <w:p w:rsidR="00CF6575" w:rsidRPr="00460F4B" w:rsidRDefault="00CF6575" w:rsidP="00D1593D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Advise patient to </w:t>
            </w:r>
            <w:r w:rsidR="00254468" w:rsidRPr="00460F4B">
              <w:rPr>
                <w:rFonts w:ascii="Arial" w:hAnsi="Arial" w:cs="Arial"/>
                <w:sz w:val="24"/>
                <w:szCs w:val="24"/>
              </w:rPr>
              <w:t>put to one side</w:t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F58" w:rsidRPr="00460F4B">
              <w:rPr>
                <w:rFonts w:ascii="Arial" w:hAnsi="Arial" w:cs="Arial"/>
                <w:sz w:val="24"/>
                <w:szCs w:val="24"/>
              </w:rPr>
              <w:t>(</w:t>
            </w:r>
            <w:r w:rsidR="00254468" w:rsidRPr="00460F4B">
              <w:rPr>
                <w:rFonts w:ascii="Arial" w:hAnsi="Arial" w:cs="Arial"/>
                <w:sz w:val="24"/>
                <w:szCs w:val="24"/>
              </w:rPr>
              <w:t>for subsequent disposal</w:t>
            </w:r>
            <w:r w:rsidR="00315F58" w:rsidRPr="00460F4B">
              <w:rPr>
                <w:rFonts w:ascii="Arial" w:hAnsi="Arial" w:cs="Arial"/>
                <w:sz w:val="24"/>
                <w:szCs w:val="24"/>
              </w:rPr>
              <w:t>)</w:t>
            </w:r>
            <w:r w:rsidR="00254468"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F4B">
              <w:rPr>
                <w:rFonts w:ascii="Arial" w:hAnsi="Arial" w:cs="Arial"/>
                <w:sz w:val="24"/>
                <w:szCs w:val="24"/>
              </w:rPr>
              <w:t>any remaining stocks of warfarin to avoid duplicate dosing.</w:t>
            </w:r>
          </w:p>
        </w:tc>
        <w:tc>
          <w:tcPr>
            <w:tcW w:w="2028" w:type="dxa"/>
          </w:tcPr>
          <w:p w:rsidR="00FF1113" w:rsidRDefault="00CF6575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lastRenderedPageBreak/>
              <w:t>PhP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460F4B">
              <w:rPr>
                <w:rFonts w:ascii="Arial" w:hAnsi="Arial" w:cs="Arial"/>
                <w:sz w:val="24"/>
                <w:szCs w:val="24"/>
              </w:rPr>
              <w:t>S</w:t>
            </w:r>
            <w:r w:rsidRPr="00460F4B">
              <w:rPr>
                <w:rFonts w:ascii="Arial" w:hAnsi="Arial" w:cs="Arial"/>
                <w:sz w:val="24"/>
                <w:szCs w:val="24"/>
              </w:rPr>
              <w:t>witching clinician</w:t>
            </w:r>
          </w:p>
          <w:p w:rsidR="00FF1113" w:rsidRPr="00FF1113" w:rsidRDefault="00FF1113" w:rsidP="00FF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113" w:rsidRPr="00FF1113" w:rsidRDefault="00FF1113" w:rsidP="00FF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113" w:rsidRPr="00FF1113" w:rsidRDefault="00FF1113" w:rsidP="00FF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113" w:rsidRDefault="00FF1113" w:rsidP="00FF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113" w:rsidRPr="00FF1113" w:rsidRDefault="00FF1113" w:rsidP="00FF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113" w:rsidRDefault="00FF1113" w:rsidP="00FF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113" w:rsidRDefault="00FF1113" w:rsidP="00FF1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575" w:rsidRPr="00FF1113" w:rsidRDefault="00CF6575" w:rsidP="00FF111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113" w:rsidRPr="00460F4B" w:rsidTr="008D0875">
        <w:trPr>
          <w:trHeight w:val="594"/>
        </w:trPr>
        <w:tc>
          <w:tcPr>
            <w:tcW w:w="928" w:type="dxa"/>
          </w:tcPr>
          <w:p w:rsidR="00FF1113" w:rsidRPr="00460F4B" w:rsidRDefault="00FF1113" w:rsidP="00704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84" w:type="dxa"/>
          </w:tcPr>
          <w:p w:rsidR="00FF1113" w:rsidRPr="00FF1113" w:rsidRDefault="00FF1113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FF1113">
              <w:rPr>
                <w:rFonts w:ascii="Arial" w:hAnsi="Arial" w:cs="Arial"/>
                <w:sz w:val="24"/>
                <w:szCs w:val="24"/>
              </w:rPr>
              <w:t xml:space="preserve">Use </w:t>
            </w:r>
            <w:hyperlink r:id="rId12" w:history="1">
              <w:r w:rsidRPr="00FF1113">
                <w:rPr>
                  <w:rStyle w:val="Hyperlink"/>
                  <w:rFonts w:ascii="Arial" w:hAnsi="Arial" w:cs="Arial"/>
                  <w:sz w:val="24"/>
                  <w:szCs w:val="24"/>
                </w:rPr>
                <w:t>DOAC Counselling Checklist</w:t>
              </w:r>
            </w:hyperlink>
            <w:r w:rsidRPr="00FF111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40549">
              <w:rPr>
                <w:rFonts w:ascii="Arial" w:hAnsi="Arial" w:cs="Arial"/>
                <w:sz w:val="24"/>
                <w:szCs w:val="24"/>
              </w:rPr>
              <w:t xml:space="preserve">confirm details in </w:t>
            </w:r>
            <w:r w:rsidRPr="00FF1113">
              <w:rPr>
                <w:rFonts w:ascii="Arial" w:hAnsi="Arial" w:cs="Arial"/>
                <w:sz w:val="24"/>
                <w:szCs w:val="24"/>
              </w:rPr>
              <w:t>Appendices I &amp; II</w:t>
            </w:r>
          </w:p>
        </w:tc>
        <w:tc>
          <w:tcPr>
            <w:tcW w:w="2028" w:type="dxa"/>
          </w:tcPr>
          <w:p w:rsidR="00FF1113" w:rsidRPr="00460F4B" w:rsidRDefault="00FF1113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Switching Clinician</w:t>
            </w:r>
          </w:p>
        </w:tc>
      </w:tr>
      <w:tr w:rsidR="00CF6575" w:rsidRPr="00460F4B" w:rsidTr="008D0875">
        <w:trPr>
          <w:trHeight w:val="594"/>
        </w:trPr>
        <w:tc>
          <w:tcPr>
            <w:tcW w:w="928" w:type="dxa"/>
          </w:tcPr>
          <w:p w:rsidR="00CF6575" w:rsidRPr="00460F4B" w:rsidRDefault="00FF1113" w:rsidP="00704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CF6575" w:rsidRPr="00460F4B" w:rsidRDefault="00CF6575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Provide written instructions and involve family members / carers where possible to minimise the risk of patients taking both warfarin and the DOAC concurrently. Particular care should be taken where patients are using medication compliance aids to minimi</w:t>
            </w:r>
            <w:r w:rsidR="00FF1113">
              <w:rPr>
                <w:rFonts w:ascii="Arial" w:hAnsi="Arial" w:cs="Arial"/>
                <w:sz w:val="24"/>
                <w:szCs w:val="24"/>
              </w:rPr>
              <w:t xml:space="preserve">se the risk of incorrect dosing. </w:t>
            </w:r>
          </w:p>
        </w:tc>
        <w:tc>
          <w:tcPr>
            <w:tcW w:w="2028" w:type="dxa"/>
          </w:tcPr>
          <w:p w:rsidR="00CF6575" w:rsidRPr="00460F4B" w:rsidRDefault="00460F4B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witching clinician</w:t>
            </w:r>
          </w:p>
        </w:tc>
      </w:tr>
      <w:tr w:rsidR="007941D1" w:rsidRPr="00460F4B" w:rsidTr="008D0875">
        <w:trPr>
          <w:trHeight w:val="594"/>
        </w:trPr>
        <w:tc>
          <w:tcPr>
            <w:tcW w:w="928" w:type="dxa"/>
          </w:tcPr>
          <w:p w:rsidR="007941D1" w:rsidRPr="00460F4B" w:rsidRDefault="00D51C99" w:rsidP="00704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941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7941D1" w:rsidRPr="007941D1" w:rsidRDefault="007941D1" w:rsidP="00794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Safety-netting: </w:t>
            </w:r>
            <w:r w:rsidRPr="007941D1">
              <w:rPr>
                <w:rFonts w:ascii="Arial" w:hAnsi="Arial" w:cs="Arial"/>
                <w:sz w:val="24"/>
                <w:szCs w:val="24"/>
              </w:rPr>
              <w:t>Common and serious side-effects and who/when to refer: symptoms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1D1">
              <w:rPr>
                <w:rFonts w:ascii="Arial" w:hAnsi="Arial" w:cs="Arial"/>
                <w:sz w:val="24"/>
                <w:szCs w:val="24"/>
              </w:rPr>
              <w:t>bleeding/unexplained bruising. Avoidance of contact sports.</w:t>
            </w:r>
          </w:p>
          <w:p w:rsidR="007941D1" w:rsidRPr="007941D1" w:rsidRDefault="007941D1" w:rsidP="007941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941D1">
              <w:rPr>
                <w:rFonts w:ascii="Arial" w:hAnsi="Arial" w:cs="Arial"/>
                <w:sz w:val="24"/>
                <w:szCs w:val="24"/>
              </w:rPr>
              <w:t xml:space="preserve">Single/self-terminating bleeding episode </w:t>
            </w:r>
            <w:r w:rsidRPr="007941D1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7941D1">
              <w:rPr>
                <w:rFonts w:ascii="Arial" w:hAnsi="Arial" w:cs="Arial"/>
                <w:sz w:val="24"/>
                <w:szCs w:val="24"/>
              </w:rPr>
              <w:t xml:space="preserve"> routine appointment with GP/ pharmacist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941D1">
              <w:rPr>
                <w:rFonts w:ascii="Arial" w:hAnsi="Arial" w:cs="Arial"/>
                <w:sz w:val="24"/>
                <w:szCs w:val="24"/>
              </w:rPr>
              <w:t>Insert contact: ………………….</w:t>
            </w:r>
          </w:p>
          <w:p w:rsidR="007941D1" w:rsidRPr="007941D1" w:rsidRDefault="007941D1" w:rsidP="007941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941D1">
              <w:rPr>
                <w:rFonts w:ascii="Arial" w:hAnsi="Arial" w:cs="Arial"/>
                <w:sz w:val="24"/>
                <w:szCs w:val="24"/>
              </w:rPr>
              <w:t>Prolonged/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1D1">
              <w:rPr>
                <w:rFonts w:ascii="Arial" w:hAnsi="Arial" w:cs="Arial"/>
                <w:sz w:val="24"/>
                <w:szCs w:val="24"/>
              </w:rPr>
              <w:t>recurrent/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1D1">
              <w:rPr>
                <w:rFonts w:ascii="Arial" w:hAnsi="Arial" w:cs="Arial"/>
                <w:sz w:val="24"/>
                <w:szCs w:val="24"/>
              </w:rPr>
              <w:t>severe bleeding/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1D1">
              <w:rPr>
                <w:rFonts w:ascii="Arial" w:hAnsi="Arial" w:cs="Arial"/>
                <w:sz w:val="24"/>
                <w:szCs w:val="24"/>
              </w:rPr>
              <w:t xml:space="preserve">head injury </w:t>
            </w:r>
            <w:r w:rsidRPr="007941D1">
              <w:rPr>
                <w:rFonts w:ascii="Arial" w:hAnsi="Arial" w:cs="Arial" w:hint="eastAsia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999</w:t>
            </w:r>
          </w:p>
        </w:tc>
        <w:tc>
          <w:tcPr>
            <w:tcW w:w="2028" w:type="dxa"/>
          </w:tcPr>
          <w:p w:rsidR="007941D1" w:rsidRDefault="007941D1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Switching clinician</w:t>
            </w:r>
          </w:p>
        </w:tc>
      </w:tr>
      <w:tr w:rsidR="00CF6575" w:rsidRPr="00460F4B" w:rsidTr="008D0875">
        <w:trPr>
          <w:trHeight w:val="226"/>
        </w:trPr>
        <w:tc>
          <w:tcPr>
            <w:tcW w:w="928" w:type="dxa"/>
          </w:tcPr>
          <w:p w:rsidR="00CF6575" w:rsidRPr="00460F4B" w:rsidRDefault="00D51C99" w:rsidP="00704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CF6575" w:rsidRPr="00460F4B" w:rsidRDefault="00CF6575" w:rsidP="003C086E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Provide an up-t</w:t>
            </w:r>
            <w:r w:rsidR="00460F4B">
              <w:rPr>
                <w:rFonts w:ascii="Arial" w:hAnsi="Arial" w:cs="Arial"/>
                <w:sz w:val="24"/>
                <w:szCs w:val="24"/>
              </w:rPr>
              <w:t>o-date Anticoagulant Alert card.</w:t>
            </w:r>
            <w:r w:rsidR="003C0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86E" w:rsidRPr="003C086E">
              <w:rPr>
                <w:rFonts w:ascii="Arial" w:hAnsi="Arial" w:cs="Arial"/>
                <w:sz w:val="24"/>
                <w:szCs w:val="24"/>
              </w:rPr>
              <w:t xml:space="preserve">Remove INR recall and yellow book from system.  </w:t>
            </w:r>
            <w:r w:rsidR="003C086E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3C086E">
              <w:rPr>
                <w:rFonts w:ascii="Arial" w:hAnsi="Arial" w:cs="Arial"/>
                <w:sz w:val="24"/>
                <w:szCs w:val="24"/>
              </w:rPr>
              <w:t>anecdotal</w:t>
            </w:r>
            <w:proofErr w:type="gramEnd"/>
            <w:r w:rsidR="003C086E">
              <w:rPr>
                <w:rFonts w:ascii="Arial" w:hAnsi="Arial" w:cs="Arial"/>
                <w:sz w:val="24"/>
                <w:szCs w:val="24"/>
              </w:rPr>
              <w:t xml:space="preserve"> reports of switched patients still attending for automatic INR recall)</w:t>
            </w:r>
            <w:r w:rsidR="003C086E" w:rsidRPr="003C08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CF6575" w:rsidRPr="00460F4B" w:rsidRDefault="00460F4B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witching clinician</w:t>
            </w:r>
          </w:p>
        </w:tc>
      </w:tr>
      <w:tr w:rsidR="00CF6575" w:rsidRPr="00460F4B" w:rsidTr="008D0875">
        <w:trPr>
          <w:trHeight w:val="594"/>
        </w:trPr>
        <w:tc>
          <w:tcPr>
            <w:tcW w:w="928" w:type="dxa"/>
          </w:tcPr>
          <w:p w:rsidR="00CF6575" w:rsidRPr="00460F4B" w:rsidRDefault="00D51C99" w:rsidP="00704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460F4B" w:rsidRPr="00460F4B" w:rsidRDefault="00CF6575" w:rsidP="005E6A6F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Inform community nursing teams/ anticoagulation teams of the switch if they have been monitoring INR or administering warfarin</w:t>
            </w:r>
            <w:r w:rsidR="00460F4B">
              <w:rPr>
                <w:rFonts w:ascii="Arial" w:hAnsi="Arial" w:cs="Arial"/>
                <w:sz w:val="24"/>
                <w:szCs w:val="24"/>
              </w:rPr>
              <w:t>.</w:t>
            </w:r>
            <w:r w:rsidR="00652C34">
              <w:rPr>
                <w:rFonts w:ascii="Arial" w:hAnsi="Arial" w:cs="Arial"/>
                <w:sz w:val="24"/>
                <w:szCs w:val="24"/>
              </w:rPr>
              <w:t xml:space="preserve"> Inform the community pharmacy </w:t>
            </w:r>
            <w:r w:rsidR="00652C34" w:rsidRPr="00652C34">
              <w:rPr>
                <w:rFonts w:ascii="Arial" w:hAnsi="Arial" w:cs="Arial"/>
                <w:sz w:val="24"/>
                <w:szCs w:val="24"/>
              </w:rPr>
              <w:t>if the patient is a NOMAD patient so that it can be included in compliance aid (not dabigatran)</w:t>
            </w:r>
            <w:r w:rsidR="00652C34">
              <w:rPr>
                <w:rFonts w:ascii="Arial" w:hAnsi="Arial" w:cs="Arial"/>
                <w:sz w:val="24"/>
                <w:szCs w:val="24"/>
              </w:rPr>
              <w:t xml:space="preserve">. Encourage New Medicine Service discussions </w:t>
            </w:r>
            <w:r w:rsidR="00402269">
              <w:rPr>
                <w:rFonts w:ascii="Arial" w:hAnsi="Arial" w:cs="Arial"/>
                <w:sz w:val="24"/>
                <w:szCs w:val="24"/>
              </w:rPr>
              <w:t xml:space="preserve">with community pharmacist </w:t>
            </w:r>
            <w:r w:rsidR="00652C34">
              <w:rPr>
                <w:rFonts w:ascii="Arial" w:hAnsi="Arial" w:cs="Arial"/>
                <w:sz w:val="24"/>
                <w:szCs w:val="24"/>
              </w:rPr>
              <w:t>in future.</w:t>
            </w:r>
          </w:p>
        </w:tc>
        <w:tc>
          <w:tcPr>
            <w:tcW w:w="2028" w:type="dxa"/>
          </w:tcPr>
          <w:p w:rsidR="00CF6575" w:rsidRPr="00460F4B" w:rsidRDefault="00460F4B" w:rsidP="005D0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witching clinician</w:t>
            </w:r>
          </w:p>
        </w:tc>
      </w:tr>
      <w:tr w:rsidR="00CF6575" w:rsidRPr="00460F4B" w:rsidTr="008D0875">
        <w:trPr>
          <w:trHeight w:val="314"/>
        </w:trPr>
        <w:tc>
          <w:tcPr>
            <w:tcW w:w="928" w:type="dxa"/>
          </w:tcPr>
          <w:p w:rsidR="00CF6575" w:rsidRPr="00460F4B" w:rsidRDefault="00D51C99" w:rsidP="00704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Add patient to appropriate </w:t>
            </w:r>
            <w:r w:rsidR="001420DA" w:rsidRPr="00460F4B">
              <w:rPr>
                <w:rFonts w:ascii="Arial" w:hAnsi="Arial" w:cs="Arial"/>
                <w:i/>
                <w:sz w:val="24"/>
                <w:szCs w:val="24"/>
              </w:rPr>
              <w:t>routine</w:t>
            </w:r>
            <w:r w:rsidR="001420DA"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F4B">
              <w:rPr>
                <w:rFonts w:ascii="Arial" w:hAnsi="Arial" w:cs="Arial"/>
                <w:sz w:val="24"/>
                <w:szCs w:val="24"/>
              </w:rPr>
              <w:t>monitoring recall protocols.</w:t>
            </w:r>
          </w:p>
          <w:p w:rsidR="00CF6575" w:rsidRPr="00460F4B" w:rsidRDefault="00CF6575" w:rsidP="00440A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Annual review (at least) of renal profile if 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CrCl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 &gt; 60ml/min with FBC and LFTs </w:t>
            </w:r>
          </w:p>
          <w:p w:rsidR="004F12FE" w:rsidRPr="00460F4B" w:rsidRDefault="00CF6575" w:rsidP="00440A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6 monthly review if 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CrCl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2FE" w:rsidRPr="00460F4B">
              <w:rPr>
                <w:rFonts w:ascii="Arial" w:hAnsi="Arial" w:cs="Arial"/>
                <w:sz w:val="24"/>
                <w:szCs w:val="24"/>
              </w:rPr>
              <w:t xml:space="preserve">&lt; </w:t>
            </w:r>
            <w:r w:rsidRPr="00460F4B">
              <w:rPr>
                <w:rFonts w:ascii="Arial" w:hAnsi="Arial" w:cs="Arial"/>
                <w:sz w:val="24"/>
                <w:szCs w:val="24"/>
              </w:rPr>
              <w:t xml:space="preserve">60ml/min and/or aged &gt;75 years and/or frail </w:t>
            </w:r>
          </w:p>
          <w:p w:rsidR="00CF6575" w:rsidRPr="00460F4B" w:rsidRDefault="004F12FE" w:rsidP="00440A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 xml:space="preserve">At lower end of the range (e.g. </w:t>
            </w: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CrCl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 15-30ml/min) ideally 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>3 mon</w:t>
            </w:r>
            <w:r w:rsidRPr="00460F4B">
              <w:rPr>
                <w:rFonts w:ascii="Arial" w:hAnsi="Arial" w:cs="Arial"/>
                <w:sz w:val="24"/>
                <w:szCs w:val="24"/>
              </w:rPr>
              <w:t>thly review of renal profile but may not be practical during Covid-19 pandemic.</w:t>
            </w:r>
            <w:r w:rsidR="00CF6575" w:rsidRPr="00460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Check for side-effects/ bleeding issues and patient adherence to therapy at each routine appointment.</w:t>
            </w:r>
          </w:p>
        </w:tc>
        <w:tc>
          <w:tcPr>
            <w:tcW w:w="2028" w:type="dxa"/>
          </w:tcPr>
          <w:p w:rsidR="00CF6575" w:rsidRDefault="00CF6575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0F4B"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 w:rsidRPr="00460F4B">
              <w:rPr>
                <w:rFonts w:ascii="Arial" w:hAnsi="Arial" w:cs="Arial"/>
                <w:sz w:val="24"/>
                <w:szCs w:val="24"/>
              </w:rPr>
              <w:t xml:space="preserve"> / Practice staff</w:t>
            </w:r>
          </w:p>
          <w:p w:rsidR="00460F4B" w:rsidRPr="00460F4B" w:rsidRDefault="00460F4B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575" w:rsidRPr="00460F4B" w:rsidTr="008D0875">
        <w:tc>
          <w:tcPr>
            <w:tcW w:w="928" w:type="dxa"/>
            <w:shd w:val="clear" w:color="auto" w:fill="B8CCE4" w:themeFill="accent1" w:themeFillTint="66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B8CCE4" w:themeFill="accent1" w:themeFillTint="66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  <w:r w:rsidRPr="00460F4B">
              <w:rPr>
                <w:rFonts w:ascii="Arial" w:hAnsi="Arial" w:cs="Arial"/>
                <w:sz w:val="24"/>
                <w:szCs w:val="24"/>
              </w:rPr>
              <w:t>OTHER PRACTICE-SPECIFIC REQUIREMENTS:</w:t>
            </w:r>
          </w:p>
        </w:tc>
        <w:tc>
          <w:tcPr>
            <w:tcW w:w="2028" w:type="dxa"/>
            <w:shd w:val="clear" w:color="auto" w:fill="B8CCE4" w:themeFill="accent1" w:themeFillTint="66"/>
          </w:tcPr>
          <w:p w:rsidR="00CF6575" w:rsidRPr="00460F4B" w:rsidRDefault="00CF6575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575" w:rsidRPr="00460F4B" w:rsidTr="008D0875">
        <w:tc>
          <w:tcPr>
            <w:tcW w:w="928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4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6575" w:rsidRPr="00460F4B" w:rsidRDefault="00CF6575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575" w:rsidRPr="00460F4B" w:rsidTr="008D0875">
        <w:tc>
          <w:tcPr>
            <w:tcW w:w="928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4" w:type="dxa"/>
          </w:tcPr>
          <w:p w:rsidR="00CF6575" w:rsidRPr="00460F4B" w:rsidRDefault="00CF6575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6575" w:rsidRPr="00460F4B" w:rsidRDefault="00CF6575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1D1" w:rsidRPr="00460F4B" w:rsidTr="008D0875">
        <w:tc>
          <w:tcPr>
            <w:tcW w:w="928" w:type="dxa"/>
          </w:tcPr>
          <w:p w:rsidR="007941D1" w:rsidRPr="00460F4B" w:rsidRDefault="007941D1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4" w:type="dxa"/>
          </w:tcPr>
          <w:p w:rsidR="007941D1" w:rsidRPr="00460F4B" w:rsidRDefault="007941D1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7941D1" w:rsidRPr="00460F4B" w:rsidRDefault="007941D1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1D1" w:rsidRPr="00460F4B" w:rsidTr="008D0875">
        <w:tc>
          <w:tcPr>
            <w:tcW w:w="928" w:type="dxa"/>
          </w:tcPr>
          <w:p w:rsidR="007941D1" w:rsidRPr="00460F4B" w:rsidRDefault="007941D1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4" w:type="dxa"/>
          </w:tcPr>
          <w:p w:rsidR="007941D1" w:rsidRPr="00460F4B" w:rsidRDefault="007941D1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7941D1" w:rsidRPr="00460F4B" w:rsidRDefault="007941D1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9E4" w:rsidRPr="00460F4B" w:rsidTr="008D0875">
        <w:tc>
          <w:tcPr>
            <w:tcW w:w="928" w:type="dxa"/>
          </w:tcPr>
          <w:p w:rsidR="003B79E4" w:rsidRPr="00460F4B" w:rsidRDefault="003B79E4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4" w:type="dxa"/>
          </w:tcPr>
          <w:p w:rsidR="003B79E4" w:rsidRPr="00460F4B" w:rsidRDefault="003B79E4" w:rsidP="00704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3B79E4" w:rsidRPr="00460F4B" w:rsidRDefault="003B79E4" w:rsidP="00704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EE4" w:rsidRDefault="00DD7EE4" w:rsidP="004513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5103"/>
        <w:gridCol w:w="1985"/>
      </w:tblGrid>
      <w:tr w:rsidR="007941D1" w:rsidRPr="007941D1" w:rsidTr="00DD72E6">
        <w:tc>
          <w:tcPr>
            <w:tcW w:w="3652" w:type="dxa"/>
            <w:shd w:val="clear" w:color="auto" w:fill="B8CCE4" w:themeFill="accent1" w:themeFillTint="66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1D1">
              <w:rPr>
                <w:rFonts w:ascii="Arial" w:hAnsi="Arial" w:cs="Arial"/>
                <w:b/>
                <w:sz w:val="24"/>
                <w:szCs w:val="24"/>
              </w:rPr>
              <w:t>Print Name &amp; Role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1D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1D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7941D1" w:rsidRPr="007941D1" w:rsidTr="00DD72E6">
        <w:tc>
          <w:tcPr>
            <w:tcW w:w="3652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941D1">
              <w:rPr>
                <w:rFonts w:ascii="Arial" w:hAnsi="Arial" w:cs="Arial"/>
                <w:sz w:val="24"/>
                <w:szCs w:val="24"/>
              </w:rPr>
              <w:t>On behalf of practice:</w:t>
            </w:r>
          </w:p>
        </w:tc>
        <w:tc>
          <w:tcPr>
            <w:tcW w:w="5103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1D1" w:rsidRPr="007941D1" w:rsidTr="00DD72E6">
        <w:tc>
          <w:tcPr>
            <w:tcW w:w="3652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941D1">
              <w:rPr>
                <w:rFonts w:ascii="Arial" w:hAnsi="Arial" w:cs="Arial"/>
                <w:sz w:val="24"/>
                <w:szCs w:val="24"/>
              </w:rPr>
              <w:t>MOT member:</w:t>
            </w:r>
          </w:p>
        </w:tc>
        <w:tc>
          <w:tcPr>
            <w:tcW w:w="5103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1D1" w:rsidRPr="007941D1" w:rsidTr="00DD72E6">
        <w:tc>
          <w:tcPr>
            <w:tcW w:w="3652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941D1">
              <w:rPr>
                <w:rFonts w:ascii="Arial" w:hAnsi="Arial" w:cs="Arial"/>
                <w:sz w:val="24"/>
                <w:szCs w:val="24"/>
              </w:rPr>
              <w:t>MOT member:</w:t>
            </w:r>
          </w:p>
        </w:tc>
        <w:tc>
          <w:tcPr>
            <w:tcW w:w="5103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1D1" w:rsidRPr="007941D1" w:rsidRDefault="007941D1" w:rsidP="007941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36B" w:rsidRDefault="0086536B" w:rsidP="004513B3">
      <w:pPr>
        <w:rPr>
          <w:rFonts w:ascii="Arial" w:hAnsi="Arial" w:cs="Arial"/>
          <w:sz w:val="24"/>
          <w:szCs w:val="24"/>
        </w:rPr>
      </w:pPr>
    </w:p>
    <w:p w:rsidR="007941D1" w:rsidRDefault="0086536B" w:rsidP="0045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Appendices I &amp; II Checklists</w:t>
      </w:r>
    </w:p>
    <w:tbl>
      <w:tblPr>
        <w:tblStyle w:val="TableGrid1"/>
        <w:tblW w:w="10632" w:type="dxa"/>
        <w:tblInd w:w="-34" w:type="dxa"/>
        <w:tblLook w:val="04A0" w:firstRow="1" w:lastRow="0" w:firstColumn="1" w:lastColumn="0" w:noHBand="0" w:noVBand="1"/>
      </w:tblPr>
      <w:tblGrid>
        <w:gridCol w:w="4361"/>
        <w:gridCol w:w="850"/>
        <w:gridCol w:w="4429"/>
        <w:gridCol w:w="992"/>
      </w:tblGrid>
      <w:tr w:rsidR="0086536B" w:rsidRPr="0086536B" w:rsidTr="00DD6BA5">
        <w:tc>
          <w:tcPr>
            <w:tcW w:w="10632" w:type="dxa"/>
            <w:gridSpan w:val="4"/>
            <w:shd w:val="clear" w:color="auto" w:fill="DBE5F1" w:themeFill="accent1" w:themeFillTint="33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Appendix I: Patient-centred care: Switching Clinician to complete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10632" w:type="dxa"/>
            <w:gridSpan w:val="4"/>
            <w:shd w:val="clear" w:color="auto" w:fill="auto"/>
          </w:tcPr>
          <w:p w:rsid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Confirm the following points have been discussed with and understood by the patient/ carer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Why DOAC prescribed (risk versus benefit)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 xml:space="preserve">How DOAC works 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Duration of treatment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Main side-effects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Awareness of current availability of reversal agents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Risk of bleeding and action required in event of bleeding or a fall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Need for at least annual blood tests if on long term (more frequent if weight or renal function changes as may require dose change)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Lifestyle considerations (e.g. contact sports)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Not licensed in pregnancy (requires pregnancy test before starting)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Non hormonal contraception if treating VTE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36B" w:rsidRPr="0086536B" w:rsidRDefault="0086536B" w:rsidP="00DD6B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36B">
        <w:rPr>
          <w:rFonts w:ascii="Arial" w:hAnsi="Arial" w:cs="Arial"/>
          <w:sz w:val="24"/>
          <w:szCs w:val="24"/>
        </w:rPr>
        <w:t xml:space="preserve"> </w:t>
      </w:r>
    </w:p>
    <w:p w:rsidR="0086536B" w:rsidRPr="0086536B" w:rsidRDefault="0086536B" w:rsidP="008653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95"/>
        <w:gridCol w:w="992"/>
      </w:tblGrid>
      <w:tr w:rsidR="0086536B" w:rsidRPr="0086536B" w:rsidTr="00DD6BA5">
        <w:tc>
          <w:tcPr>
            <w:tcW w:w="10598" w:type="dxa"/>
            <w:gridSpan w:val="4"/>
            <w:shd w:val="clear" w:color="auto" w:fill="DBE5F1" w:themeFill="accent1" w:themeFillTint="33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 xml:space="preserve">Appendix II Counselling Checklist: </w:t>
            </w:r>
            <w:proofErr w:type="spellStart"/>
            <w:r w:rsidRPr="0086536B">
              <w:rPr>
                <w:rFonts w:ascii="Arial" w:hAnsi="Arial" w:cs="Arial"/>
                <w:sz w:val="24"/>
                <w:szCs w:val="24"/>
              </w:rPr>
              <w:t>PhP</w:t>
            </w:r>
            <w:proofErr w:type="spellEnd"/>
            <w:r w:rsidRPr="0086536B">
              <w:rPr>
                <w:rFonts w:ascii="Arial" w:hAnsi="Arial" w:cs="Arial"/>
                <w:sz w:val="24"/>
                <w:szCs w:val="24"/>
              </w:rPr>
              <w:t xml:space="preserve"> / Anticoagulant Clinic to complete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Dose checked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How to obtain repeat prescriptions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Pregnancy (contraindicated) / periods (may get heavier)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Need for good compliance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 xml:space="preserve">Check current medicines for interactions 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Need for AT LEAST annual blood tests if on long-term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 xml:space="preserve">Alcohol (is OK – </w:t>
            </w:r>
            <w:proofErr w:type="gramStart"/>
            <w:r w:rsidRPr="0086536B">
              <w:rPr>
                <w:rFonts w:ascii="Arial" w:hAnsi="Arial" w:cs="Arial"/>
                <w:sz w:val="24"/>
                <w:szCs w:val="24"/>
              </w:rPr>
              <w:t>no more than 2 units/day</w:t>
            </w:r>
            <w:proofErr w:type="gramEnd"/>
            <w:r w:rsidRPr="0086536B">
              <w:rPr>
                <w:rFonts w:ascii="Arial" w:hAnsi="Arial" w:cs="Arial"/>
                <w:sz w:val="24"/>
                <w:szCs w:val="24"/>
              </w:rPr>
              <w:t>). No binge drinking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Drug interactions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Missed doses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When to seek medical help (signs and symptoms of unusual or internal bleeding, falls/bang to head)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The need to inform other healthcare professionals before any procedures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 xml:space="preserve">Provide indication specific info leaflet if available 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Side-effects (report to GP for review if troublesome)</w:t>
            </w: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Explain simple analgesia/NSAID/alternative therapies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6B" w:rsidRPr="0086536B" w:rsidTr="00DD6BA5">
        <w:tc>
          <w:tcPr>
            <w:tcW w:w="4361" w:type="dxa"/>
          </w:tcPr>
          <w:p w:rsid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Stopping/ starting other medicines</w:t>
            </w:r>
          </w:p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  <w:r w:rsidRPr="0086536B">
              <w:rPr>
                <w:rFonts w:ascii="Arial" w:hAnsi="Arial" w:cs="Arial"/>
                <w:sz w:val="24"/>
                <w:szCs w:val="24"/>
              </w:rPr>
              <w:t>Provide DOAC alert card</w:t>
            </w:r>
          </w:p>
        </w:tc>
        <w:tc>
          <w:tcPr>
            <w:tcW w:w="992" w:type="dxa"/>
          </w:tcPr>
          <w:p w:rsidR="0086536B" w:rsidRPr="0086536B" w:rsidRDefault="0086536B" w:rsidP="00865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36B" w:rsidRDefault="0086536B" w:rsidP="004513B3">
      <w:pPr>
        <w:rPr>
          <w:rFonts w:ascii="Arial" w:hAnsi="Arial" w:cs="Arial"/>
          <w:sz w:val="24"/>
          <w:szCs w:val="24"/>
        </w:rPr>
      </w:pPr>
    </w:p>
    <w:p w:rsidR="0064241E" w:rsidRDefault="0064241E" w:rsidP="0045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</w:p>
    <w:p w:rsidR="0064241E" w:rsidRPr="00460F4B" w:rsidRDefault="003B79E4" w:rsidP="004513B3">
      <w:pPr>
        <w:rPr>
          <w:rFonts w:ascii="Arial" w:hAnsi="Arial" w:cs="Arial"/>
          <w:sz w:val="24"/>
          <w:szCs w:val="24"/>
        </w:rPr>
      </w:pPr>
      <w:hyperlink r:id="rId13" w:history="1">
        <w:r w:rsidR="0064241E" w:rsidRPr="0064241E">
          <w:rPr>
            <w:rStyle w:val="Hyperlink"/>
            <w:rFonts w:ascii="Arial" w:hAnsi="Arial" w:cs="Arial"/>
            <w:sz w:val="24"/>
            <w:szCs w:val="24"/>
          </w:rPr>
          <w:t>https://www.rpharms.com/Portals/0/RPS%20document%20library/Open%20access/Coronavirus/FINAL%20Guidance%20on%20safe%20switching%20of%20warfarin%20to%20DOAC%20COVID-19%20Mar%202020.pdf?ver=2020-03-26-180945-627</w:t>
        </w:r>
      </w:hyperlink>
    </w:p>
    <w:sectPr w:rsidR="0064241E" w:rsidRPr="00460F4B" w:rsidSect="003B79E4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66D7"/>
    <w:multiLevelType w:val="hybridMultilevel"/>
    <w:tmpl w:val="3332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2EAA"/>
    <w:multiLevelType w:val="hybridMultilevel"/>
    <w:tmpl w:val="F7924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035A9"/>
    <w:multiLevelType w:val="hybridMultilevel"/>
    <w:tmpl w:val="532C5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05E48"/>
    <w:multiLevelType w:val="hybridMultilevel"/>
    <w:tmpl w:val="85EC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5A2DB0"/>
    <w:multiLevelType w:val="hybridMultilevel"/>
    <w:tmpl w:val="E258E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4210E"/>
    <w:multiLevelType w:val="hybridMultilevel"/>
    <w:tmpl w:val="38CA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A"/>
    <w:rsid w:val="00057C69"/>
    <w:rsid w:val="00105F92"/>
    <w:rsid w:val="001420DA"/>
    <w:rsid w:val="001D4F6A"/>
    <w:rsid w:val="002115C3"/>
    <w:rsid w:val="00254468"/>
    <w:rsid w:val="002E433B"/>
    <w:rsid w:val="00315F58"/>
    <w:rsid w:val="003B79E4"/>
    <w:rsid w:val="003C086E"/>
    <w:rsid w:val="00402269"/>
    <w:rsid w:val="00440AD6"/>
    <w:rsid w:val="004513B3"/>
    <w:rsid w:val="00460F4B"/>
    <w:rsid w:val="00490341"/>
    <w:rsid w:val="004F12FE"/>
    <w:rsid w:val="00577A91"/>
    <w:rsid w:val="005D6154"/>
    <w:rsid w:val="005E6A6F"/>
    <w:rsid w:val="006262D0"/>
    <w:rsid w:val="00641E5C"/>
    <w:rsid w:val="0064241E"/>
    <w:rsid w:val="00652C34"/>
    <w:rsid w:val="006E338A"/>
    <w:rsid w:val="0070419C"/>
    <w:rsid w:val="00730405"/>
    <w:rsid w:val="00777C4B"/>
    <w:rsid w:val="007941D1"/>
    <w:rsid w:val="00800D66"/>
    <w:rsid w:val="00830814"/>
    <w:rsid w:val="00840549"/>
    <w:rsid w:val="0084500A"/>
    <w:rsid w:val="008622A2"/>
    <w:rsid w:val="0086536B"/>
    <w:rsid w:val="00896603"/>
    <w:rsid w:val="008D0875"/>
    <w:rsid w:val="00B86480"/>
    <w:rsid w:val="00BF16A3"/>
    <w:rsid w:val="00C22BE0"/>
    <w:rsid w:val="00C6154E"/>
    <w:rsid w:val="00C7608F"/>
    <w:rsid w:val="00CF6575"/>
    <w:rsid w:val="00D12B9A"/>
    <w:rsid w:val="00D1593D"/>
    <w:rsid w:val="00D2630E"/>
    <w:rsid w:val="00D51C99"/>
    <w:rsid w:val="00D671C6"/>
    <w:rsid w:val="00D74023"/>
    <w:rsid w:val="00DD6BA5"/>
    <w:rsid w:val="00DD7EE4"/>
    <w:rsid w:val="00EA0459"/>
    <w:rsid w:val="00EE412F"/>
    <w:rsid w:val="00F7594B"/>
    <w:rsid w:val="00FA789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C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41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86E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6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C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41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86E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6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Portals/0/RPS%20document%20library/Open%20access/Coronavirus/FINAL%20Guidance%20on%20safe%20switching%20of%20warfarin%20to%20DOAC%20COVID-19%20Mar%202020.pdf?ver=2020-03-26-180945-627" TargetMode="External"/><Relationship Id="rId13" Type="http://schemas.openxmlformats.org/officeDocument/2006/relationships/hyperlink" Target="https://www.rpharms.com/Portals/0/RPS%20document%20library/Open%20access/Coronavirus/FINAL%20Guidance%20on%20safe%20switching%20of%20warfarin%20to%20DOAC%20COVID-19%20Mar%202020.pdf?ver=2020-03-26-180945-6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and.nhs.uk/coronavirus/wp-content/uploads/sites/52/2020/03/C0077-Specialty-guide_Anticoagulant-services-and-coronavirus-v1-31-March.pdf" TargetMode="External"/><Relationship Id="rId12" Type="http://schemas.openxmlformats.org/officeDocument/2006/relationships/hyperlink" Target="https://www.rpharms.com/Portals/0/RPS%20document%20library/Open%20access/Coronavirus/FINAL%20Guidance%20on%20safe%20switching%20of%20warfarin%20to%20DOAC%20COVID-19%20Mar%202020.pdf?ver=2020-03-26-180945-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pharms.com/Portals/0/RPS%20document%20library/Open%20access/Coronavirus/FINAL%20Guidance%20on%20safe%20switching%20of%20warfarin%20to%20DOAC%20COVID-19%20Mar%202020.pdf?ver=2020-03-26-180945-6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pharms.com/Portals/0/RPS%20document%20library/Open%20access/Coronavirus/FINAL%20Guidance%20on%20safe%20switching%20of%20warfarin%20to%20DOAC%20COVID-19%20Mar%202020.pdf?ver=2020-03-26-180945-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v-druginteraction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joanne.mcmillan</dc:creator>
  <cp:lastModifiedBy>Stevens Chris</cp:lastModifiedBy>
  <cp:revision>2</cp:revision>
  <dcterms:created xsi:type="dcterms:W3CDTF">2020-04-14T14:28:00Z</dcterms:created>
  <dcterms:modified xsi:type="dcterms:W3CDTF">2020-04-14T14:28:00Z</dcterms:modified>
</cp:coreProperties>
</file>