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CF" w:rsidRPr="00FC11BC" w:rsidRDefault="00B404CF" w:rsidP="00E20045">
      <w:pPr>
        <w:rPr>
          <w:b/>
          <w:sz w:val="24"/>
          <w:szCs w:val="24"/>
        </w:rPr>
      </w:pPr>
      <w:r w:rsidRPr="00FC11BC">
        <w:rPr>
          <w:noProof/>
          <w:sz w:val="24"/>
          <w:szCs w:val="24"/>
          <w:lang w:eastAsia="en-GB"/>
        </w:rPr>
        <w:drawing>
          <wp:anchor distT="0" distB="0" distL="114300" distR="114300" simplePos="0" relativeHeight="251659264" behindDoc="1" locked="0" layoutInCell="1" allowOverlap="1" wp14:anchorId="2429FE68" wp14:editId="7A11B398">
            <wp:simplePos x="0" y="0"/>
            <wp:positionH relativeFrom="column">
              <wp:posOffset>3622675</wp:posOffset>
            </wp:positionH>
            <wp:positionV relativeFrom="paragraph">
              <wp:posOffset>-793115</wp:posOffset>
            </wp:positionV>
            <wp:extent cx="2811145" cy="1104900"/>
            <wp:effectExtent l="0" t="0" r="8255" b="0"/>
            <wp:wrapTight wrapText="bothSides">
              <wp:wrapPolygon edited="0">
                <wp:start x="0" y="0"/>
                <wp:lineTo x="0" y="21228"/>
                <wp:lineTo x="21517" y="21228"/>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CG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145" cy="1104900"/>
                    </a:xfrm>
                    <a:prstGeom prst="rect">
                      <a:avLst/>
                    </a:prstGeom>
                  </pic:spPr>
                </pic:pic>
              </a:graphicData>
            </a:graphic>
            <wp14:sizeRelH relativeFrom="page">
              <wp14:pctWidth>0</wp14:pctWidth>
            </wp14:sizeRelH>
            <wp14:sizeRelV relativeFrom="page">
              <wp14:pctHeight>0</wp14:pctHeight>
            </wp14:sizeRelV>
          </wp:anchor>
        </w:drawing>
      </w:r>
      <w:r w:rsidR="007D13A0" w:rsidRPr="00FC11BC">
        <w:rPr>
          <w:b/>
          <w:sz w:val="24"/>
          <w:szCs w:val="24"/>
        </w:rPr>
        <w:t xml:space="preserve">Updated </w:t>
      </w:r>
      <w:r w:rsidR="00981E91" w:rsidRPr="00FC11BC">
        <w:rPr>
          <w:b/>
          <w:sz w:val="24"/>
          <w:szCs w:val="24"/>
        </w:rPr>
        <w:t>7</w:t>
      </w:r>
      <w:r w:rsidR="007D13A0" w:rsidRPr="00FC11BC">
        <w:rPr>
          <w:b/>
          <w:sz w:val="24"/>
          <w:szCs w:val="24"/>
        </w:rPr>
        <w:t xml:space="preserve"> </w:t>
      </w:r>
      <w:r w:rsidR="00A05C6E">
        <w:rPr>
          <w:b/>
          <w:sz w:val="24"/>
          <w:szCs w:val="24"/>
        </w:rPr>
        <w:t>February 2020</w:t>
      </w:r>
    </w:p>
    <w:p w:rsidR="00E20045" w:rsidRDefault="00981E91" w:rsidP="00FC11BC">
      <w:pPr>
        <w:jc w:val="center"/>
        <w:rPr>
          <w:b/>
        </w:rPr>
      </w:pPr>
      <w:r w:rsidRPr="00FC11BC">
        <w:rPr>
          <w:rFonts w:ascii="Calibri" w:eastAsia="Times New Roman" w:hAnsi="Calibri"/>
          <w:b/>
          <w:noProof/>
          <w:sz w:val="36"/>
          <w:szCs w:val="36"/>
          <w:lang w:eastAsia="en-GB"/>
        </w:rPr>
        <mc:AlternateContent>
          <mc:Choice Requires="wps">
            <w:drawing>
              <wp:anchor distT="0" distB="0" distL="114300" distR="114300" simplePos="0" relativeHeight="251661312" behindDoc="1" locked="0" layoutInCell="1" allowOverlap="1" wp14:anchorId="72FBA908" wp14:editId="3B90877A">
                <wp:simplePos x="0" y="0"/>
                <wp:positionH relativeFrom="column">
                  <wp:posOffset>-295275</wp:posOffset>
                </wp:positionH>
                <wp:positionV relativeFrom="paragraph">
                  <wp:posOffset>440055</wp:posOffset>
                </wp:positionV>
                <wp:extent cx="6400800" cy="792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792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25pt;margin-top:34.65pt;width:7in;height:6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" fillcolor="#4f81bd [3204]" strokecolor="#243f60 [1604]" strokeweight="2pt"/>
            </w:pict>
          </mc:Fallback>
        </mc:AlternateContent>
      </w:r>
      <w:r w:rsidR="00E20045" w:rsidRPr="00FC11BC">
        <w:rPr>
          <w:b/>
          <w:sz w:val="36"/>
          <w:szCs w:val="36"/>
        </w:rPr>
        <w:t>Current CQC intelligence from across Wessex</w:t>
      </w:r>
    </w:p>
    <w:p w:rsidR="00981E91" w:rsidRPr="00FC11BC" w:rsidRDefault="00981E91" w:rsidP="00981E91">
      <w:pPr>
        <w:spacing w:before="100" w:beforeAutospacing="1" w:after="100" w:afterAutospacing="1" w:line="240" w:lineRule="auto"/>
        <w:rPr>
          <w:rFonts w:ascii="Calibri" w:eastAsia="Times New Roman" w:hAnsi="Calibri"/>
          <w:b/>
          <w:color w:val="FFFFFF" w:themeColor="background1"/>
        </w:rPr>
      </w:pPr>
      <w:r w:rsidRPr="00FC11BC">
        <w:rPr>
          <w:rFonts w:ascii="Calibri" w:eastAsia="Times New Roman" w:hAnsi="Calibri"/>
          <w:b/>
          <w:color w:val="FFFFFF" w:themeColor="background1"/>
        </w:rPr>
        <w:t>Themes from recent CQC inspections within WHCCG:</w:t>
      </w:r>
    </w:p>
    <w:p w:rsidR="00FC11BC" w:rsidRDefault="00FC11BC" w:rsidP="00981E91">
      <w:pPr>
        <w:spacing w:before="100" w:beforeAutospacing="1" w:after="100" w:afterAutospacing="1" w:line="240" w:lineRule="auto"/>
        <w:rPr>
          <w:rFonts w:ascii="Calibri" w:eastAsia="Times New Roman" w:hAnsi="Calibri"/>
          <w:b/>
          <w:color w:val="FFFFFF" w:themeColor="background1"/>
        </w:rPr>
      </w:pPr>
      <w:r>
        <w:rPr>
          <w:rFonts w:ascii="Calibri" w:eastAsia="Times New Roman" w:hAnsi="Calibri"/>
          <w:b/>
          <w:color w:val="FFFFFF" w:themeColor="background1"/>
        </w:rPr>
        <w:t>Monitoring of professional registration</w:t>
      </w:r>
    </w:p>
    <w:p w:rsidR="00FC11BC" w:rsidRDefault="00FC11BC" w:rsidP="00FC11BC">
      <w:pPr>
        <w:pStyle w:val="ListParagraph"/>
        <w:numPr>
          <w:ilvl w:val="0"/>
          <w:numId w:val="10"/>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 xml:space="preserve">Practices should have a system in place to ensure that all professionals are appropriately registered and remain on </w:t>
      </w:r>
      <w:r>
        <w:rPr>
          <w:rFonts w:ascii="Calibri" w:eastAsia="Times New Roman" w:hAnsi="Calibri"/>
          <w:color w:val="FFFFFF" w:themeColor="background1"/>
        </w:rPr>
        <w:t>their governing bodies register</w:t>
      </w:r>
    </w:p>
    <w:p w:rsidR="00FC11BC" w:rsidRDefault="00FC11BC" w:rsidP="00FC11BC">
      <w:pPr>
        <w:pStyle w:val="ListParagraph"/>
        <w:numPr>
          <w:ilvl w:val="1"/>
          <w:numId w:val="10"/>
        </w:numPr>
        <w:spacing w:before="100" w:beforeAutospacing="1" w:after="100" w:afterAutospacing="1" w:line="240" w:lineRule="auto"/>
        <w:rPr>
          <w:rFonts w:ascii="Calibri" w:eastAsia="Times New Roman" w:hAnsi="Calibri"/>
          <w:color w:val="FFFFFF" w:themeColor="background1"/>
        </w:rPr>
      </w:pPr>
      <w:r>
        <w:rPr>
          <w:rFonts w:ascii="Calibri" w:eastAsia="Times New Roman" w:hAnsi="Calibri"/>
          <w:color w:val="FFFFFF" w:themeColor="background1"/>
        </w:rPr>
        <w:t>Spread sheet with revalidation and renewal dates</w:t>
      </w:r>
    </w:p>
    <w:p w:rsidR="00FC11BC" w:rsidRDefault="00FC11BC" w:rsidP="00FC11BC">
      <w:pPr>
        <w:pStyle w:val="ListParagraph"/>
        <w:numPr>
          <w:ilvl w:val="1"/>
          <w:numId w:val="10"/>
        </w:numPr>
        <w:spacing w:before="100" w:beforeAutospacing="1" w:after="100" w:afterAutospacing="1" w:line="240" w:lineRule="auto"/>
        <w:rPr>
          <w:rFonts w:ascii="Calibri" w:eastAsia="Times New Roman" w:hAnsi="Calibri"/>
          <w:color w:val="FFFFFF" w:themeColor="background1"/>
        </w:rPr>
      </w:pPr>
      <w:r>
        <w:rPr>
          <w:rFonts w:ascii="Calibri" w:eastAsia="Times New Roman" w:hAnsi="Calibri"/>
          <w:color w:val="FFFFFF" w:themeColor="background1"/>
        </w:rPr>
        <w:t>Reminders to staff</w:t>
      </w:r>
    </w:p>
    <w:p w:rsidR="00FC11BC" w:rsidRDefault="00FC11BC" w:rsidP="00FC11BC">
      <w:pPr>
        <w:pStyle w:val="ListParagraph"/>
        <w:numPr>
          <w:ilvl w:val="1"/>
          <w:numId w:val="10"/>
        </w:numPr>
        <w:spacing w:before="100" w:beforeAutospacing="1" w:after="100" w:afterAutospacing="1" w:line="240" w:lineRule="auto"/>
        <w:rPr>
          <w:rFonts w:ascii="Calibri" w:eastAsia="Times New Roman" w:hAnsi="Calibri"/>
          <w:color w:val="FFFFFF" w:themeColor="background1"/>
        </w:rPr>
      </w:pPr>
      <w:r>
        <w:rPr>
          <w:rFonts w:ascii="Calibri" w:eastAsia="Times New Roman" w:hAnsi="Calibri"/>
          <w:color w:val="FFFFFF" w:themeColor="background1"/>
        </w:rPr>
        <w:t>Seek assurance that they have successfully renewed/revalidated</w:t>
      </w:r>
    </w:p>
    <w:p w:rsidR="00FC11BC" w:rsidRDefault="00FC11BC" w:rsidP="00981E91">
      <w:pPr>
        <w:pStyle w:val="ListParagraph"/>
        <w:numPr>
          <w:ilvl w:val="1"/>
          <w:numId w:val="10"/>
        </w:numPr>
        <w:spacing w:before="100" w:beforeAutospacing="1" w:after="100" w:afterAutospacing="1" w:line="240" w:lineRule="auto"/>
        <w:rPr>
          <w:rFonts w:ascii="Calibri" w:eastAsia="Times New Roman" w:hAnsi="Calibri"/>
          <w:color w:val="FFFFFF" w:themeColor="background1"/>
        </w:rPr>
      </w:pPr>
      <w:r>
        <w:rPr>
          <w:rFonts w:ascii="Calibri" w:eastAsia="Times New Roman" w:hAnsi="Calibri"/>
          <w:color w:val="FFFFFF" w:themeColor="background1"/>
        </w:rPr>
        <w:t>Confirmers (nursing revalidation) must see all documents prior to signing the confirmation form</w:t>
      </w:r>
    </w:p>
    <w:p w:rsidR="00933384" w:rsidRPr="00FC11BC" w:rsidRDefault="00F705B6" w:rsidP="00981E91">
      <w:pPr>
        <w:pStyle w:val="ListParagraph"/>
        <w:numPr>
          <w:ilvl w:val="1"/>
          <w:numId w:val="10"/>
        </w:numPr>
        <w:spacing w:before="100" w:beforeAutospacing="1" w:after="100" w:afterAutospacing="1" w:line="240" w:lineRule="auto"/>
        <w:rPr>
          <w:rFonts w:ascii="Calibri" w:eastAsia="Times New Roman" w:hAnsi="Calibri"/>
          <w:color w:val="FFFFFF" w:themeColor="background1"/>
        </w:rPr>
      </w:pPr>
      <w:hyperlink r:id="rId9" w:history="1">
        <w:r w:rsidR="00933384" w:rsidRPr="00933384">
          <w:rPr>
            <w:rStyle w:val="Hyperlink"/>
            <w:rFonts w:ascii="Calibri" w:eastAsia="Times New Roman" w:hAnsi="Calibri"/>
          </w:rPr>
          <w:t>NMC revalidation microsite</w:t>
        </w:r>
      </w:hyperlink>
    </w:p>
    <w:p w:rsidR="00A05C6E" w:rsidRDefault="00A05C6E" w:rsidP="00A05C6E">
      <w:pPr>
        <w:spacing w:before="100" w:beforeAutospacing="1" w:after="100" w:afterAutospacing="1" w:line="240" w:lineRule="auto"/>
        <w:rPr>
          <w:rFonts w:ascii="Calibri" w:eastAsia="Times New Roman" w:hAnsi="Calibri"/>
          <w:b/>
          <w:color w:val="FFFFFF" w:themeColor="background1"/>
        </w:rPr>
      </w:pPr>
      <w:r>
        <w:rPr>
          <w:rFonts w:ascii="Calibri" w:eastAsia="Times New Roman" w:hAnsi="Calibri"/>
          <w:b/>
          <w:color w:val="FFFFFF" w:themeColor="background1"/>
        </w:rPr>
        <w:t>CQC registration of partners</w:t>
      </w:r>
    </w:p>
    <w:p w:rsidR="00A05C6E" w:rsidRPr="00A05C6E" w:rsidRDefault="00A05C6E" w:rsidP="00A05C6E">
      <w:pPr>
        <w:pStyle w:val="ListParagraph"/>
        <w:numPr>
          <w:ilvl w:val="0"/>
          <w:numId w:val="10"/>
        </w:numPr>
        <w:spacing w:before="100" w:beforeAutospacing="1" w:after="100" w:afterAutospacing="1" w:line="240" w:lineRule="auto"/>
        <w:rPr>
          <w:rFonts w:ascii="Calibri" w:eastAsia="Times New Roman" w:hAnsi="Calibri"/>
          <w:color w:val="FFFFFF" w:themeColor="background1"/>
        </w:rPr>
      </w:pPr>
      <w:r w:rsidRPr="00A05C6E">
        <w:rPr>
          <w:rFonts w:ascii="Calibri" w:eastAsia="Times New Roman" w:hAnsi="Calibri"/>
          <w:color w:val="FFFFFF" w:themeColor="background1"/>
        </w:rPr>
        <w:t xml:space="preserve">Practices must ensure that they update CQC with the details of the Practice </w:t>
      </w:r>
      <w:r>
        <w:rPr>
          <w:rFonts w:ascii="Calibri" w:eastAsia="Times New Roman" w:hAnsi="Calibri"/>
          <w:color w:val="FFFFFF" w:themeColor="background1"/>
        </w:rPr>
        <w:t xml:space="preserve">Partners as and when it changes as per CQC guidance </w:t>
      </w:r>
      <w:hyperlink r:id="rId10" w:anchor="partnerships" w:history="1">
        <w:r>
          <w:rPr>
            <w:rStyle w:val="Hyperlink"/>
          </w:rPr>
          <w:t>https://www.cqc.org.uk/guidance-providers/registration/making-changes-your-registration#partnerships</w:t>
        </w:r>
      </w:hyperlink>
    </w:p>
    <w:p w:rsidR="00981E91" w:rsidRPr="00FC11BC" w:rsidRDefault="00981E91" w:rsidP="00981E91">
      <w:pPr>
        <w:spacing w:before="100" w:beforeAutospacing="1" w:after="100" w:afterAutospacing="1" w:line="240" w:lineRule="auto"/>
        <w:rPr>
          <w:rFonts w:ascii="Calibri" w:eastAsia="Times New Roman" w:hAnsi="Calibri"/>
          <w:b/>
          <w:color w:val="FFFFFF" w:themeColor="background1"/>
        </w:rPr>
      </w:pPr>
      <w:r w:rsidRPr="00FC11BC">
        <w:rPr>
          <w:rFonts w:ascii="Calibri" w:eastAsia="Times New Roman" w:hAnsi="Calibri"/>
          <w:b/>
          <w:color w:val="FFFFFF" w:themeColor="background1"/>
        </w:rPr>
        <w:t>PGD</w:t>
      </w:r>
      <w:r w:rsidR="003A6221" w:rsidRPr="00FC11BC">
        <w:rPr>
          <w:rFonts w:ascii="Calibri" w:eastAsia="Times New Roman" w:hAnsi="Calibri"/>
          <w:b/>
          <w:color w:val="FFFFFF" w:themeColor="background1"/>
        </w:rPr>
        <w:t xml:space="preserve"> processes</w:t>
      </w:r>
    </w:p>
    <w:p w:rsidR="003A6221" w:rsidRPr="00FC11BC" w:rsidRDefault="003A6221" w:rsidP="00981E91">
      <w:pPr>
        <w:pStyle w:val="ListParagraph"/>
        <w:numPr>
          <w:ilvl w:val="0"/>
          <w:numId w:val="5"/>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We suggest that each practice maintains a spreadsheet of all PGD’s to support the following:</w:t>
      </w:r>
    </w:p>
    <w:p w:rsidR="00981E91" w:rsidRPr="00FC11BC" w:rsidRDefault="003A6221" w:rsidP="003A6221">
      <w:pPr>
        <w:pStyle w:val="ListParagraph"/>
        <w:numPr>
          <w:ilvl w:val="1"/>
          <w:numId w:val="9"/>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Check that all nurses have signed the relevant PGD’s</w:t>
      </w:r>
    </w:p>
    <w:p w:rsidR="003A6221" w:rsidRPr="00FC11BC" w:rsidRDefault="003A6221" w:rsidP="003A6221">
      <w:pPr>
        <w:pStyle w:val="ListParagraph"/>
        <w:numPr>
          <w:ilvl w:val="1"/>
          <w:numId w:val="9"/>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Check that the Authorising Manager has signed every PGD</w:t>
      </w:r>
    </w:p>
    <w:p w:rsidR="003A6221" w:rsidRPr="00FC11BC" w:rsidRDefault="003A6221" w:rsidP="003A6221">
      <w:pPr>
        <w:pStyle w:val="ListParagraph"/>
        <w:numPr>
          <w:ilvl w:val="1"/>
          <w:numId w:val="9"/>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Check that all PGD’s are in date</w:t>
      </w:r>
    </w:p>
    <w:p w:rsidR="003A6221" w:rsidRPr="00FC11BC" w:rsidRDefault="003A6221" w:rsidP="003A6221">
      <w:pPr>
        <w:pStyle w:val="ListParagraph"/>
        <w:numPr>
          <w:ilvl w:val="1"/>
          <w:numId w:val="9"/>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 xml:space="preserve">Archive old PGD’s </w:t>
      </w:r>
      <w:r w:rsidR="00A05C6E">
        <w:rPr>
          <w:rFonts w:ascii="Calibri" w:eastAsia="Times New Roman" w:hAnsi="Calibri"/>
          <w:color w:val="FFFFFF" w:themeColor="background1"/>
        </w:rPr>
        <w:t xml:space="preserve">as per the Specialist Pharmacy Service guidance </w:t>
      </w:r>
      <w:hyperlink r:id="rId11" w:history="1">
        <w:r w:rsidR="00A05C6E">
          <w:rPr>
            <w:rStyle w:val="Hyperlink"/>
          </w:rPr>
          <w:t>https://www.sps.nhs.uk/articles/retaining-pgd-documentation/</w:t>
        </w:r>
      </w:hyperlink>
    </w:p>
    <w:p w:rsidR="00981E91" w:rsidRPr="00FC11BC" w:rsidRDefault="003A6221" w:rsidP="003A6221">
      <w:pPr>
        <w:spacing w:before="100" w:beforeAutospacing="1" w:after="100" w:afterAutospacing="1" w:line="240" w:lineRule="auto"/>
        <w:rPr>
          <w:rFonts w:ascii="Calibri" w:eastAsia="Times New Roman" w:hAnsi="Calibri"/>
          <w:b/>
          <w:color w:val="FFFFFF" w:themeColor="background1"/>
        </w:rPr>
      </w:pPr>
      <w:r w:rsidRPr="00FC11BC">
        <w:rPr>
          <w:rFonts w:ascii="Calibri" w:eastAsia="Times New Roman" w:hAnsi="Calibri"/>
          <w:b/>
          <w:color w:val="FFFFFF" w:themeColor="background1"/>
        </w:rPr>
        <w:t>QOF processes and assurance</w:t>
      </w:r>
    </w:p>
    <w:p w:rsidR="006B731F" w:rsidRPr="00FC11BC" w:rsidRDefault="00933384" w:rsidP="00981E91">
      <w:pPr>
        <w:pStyle w:val="ListParagraph"/>
        <w:numPr>
          <w:ilvl w:val="0"/>
          <w:numId w:val="5"/>
        </w:numPr>
        <w:tabs>
          <w:tab w:val="left" w:pos="720"/>
        </w:tabs>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 xml:space="preserve">QOF processes; practices are expected to have assurance that patients who have either asked to be exempted or not responded  to appointment requests are still safe: </w:t>
      </w:r>
    </w:p>
    <w:p w:rsidR="006B731F" w:rsidRPr="00FC11BC" w:rsidRDefault="00933384" w:rsidP="00981E91">
      <w:pPr>
        <w:numPr>
          <w:ilvl w:val="1"/>
          <w:numId w:val="7"/>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Only exempt the patient at the end of the QOF year</w:t>
      </w:r>
    </w:p>
    <w:p w:rsidR="006B731F" w:rsidRPr="00FC11BC" w:rsidRDefault="00933384" w:rsidP="00981E91">
      <w:pPr>
        <w:numPr>
          <w:ilvl w:val="1"/>
          <w:numId w:val="7"/>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Flag the patient so that they can be seen during another appointment</w:t>
      </w:r>
    </w:p>
    <w:p w:rsidR="006B731F" w:rsidRPr="00FC11BC" w:rsidRDefault="00933384" w:rsidP="00981E91">
      <w:pPr>
        <w:numPr>
          <w:ilvl w:val="1"/>
          <w:numId w:val="7"/>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Limit repeat prescriptions (where safe to do so) to encourage engagement</w:t>
      </w:r>
    </w:p>
    <w:p w:rsidR="006B731F" w:rsidRPr="00FC11BC" w:rsidRDefault="00933384" w:rsidP="00981E91">
      <w:pPr>
        <w:numPr>
          <w:ilvl w:val="1"/>
          <w:numId w:val="7"/>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Review of the reason why the patient has declined  e.g. offer alternative appointment methods, telephone, early/late appointments</w:t>
      </w:r>
    </w:p>
    <w:p w:rsidR="006B731F" w:rsidRPr="00FC11BC" w:rsidRDefault="00933384" w:rsidP="00981E91">
      <w:pPr>
        <w:numPr>
          <w:ilvl w:val="1"/>
          <w:numId w:val="7"/>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Review of QOF performance with an action plan to address areas of improvement for all QOF metrics</w:t>
      </w:r>
    </w:p>
    <w:p w:rsidR="00981E91" w:rsidRPr="00FC11BC" w:rsidRDefault="00981E91" w:rsidP="00981E91">
      <w:pPr>
        <w:spacing w:before="100" w:beforeAutospacing="1" w:after="100" w:afterAutospacing="1" w:line="240" w:lineRule="auto"/>
        <w:rPr>
          <w:rFonts w:ascii="Calibri" w:eastAsia="Times New Roman" w:hAnsi="Calibri"/>
          <w:b/>
          <w:color w:val="FFFFFF" w:themeColor="background1"/>
        </w:rPr>
      </w:pPr>
      <w:r w:rsidRPr="00FC11BC">
        <w:rPr>
          <w:rFonts w:ascii="Calibri" w:eastAsia="Times New Roman" w:hAnsi="Calibri"/>
          <w:b/>
          <w:color w:val="FFFFFF" w:themeColor="background1"/>
        </w:rPr>
        <w:t>Risk assessment of chemicals</w:t>
      </w:r>
    </w:p>
    <w:p w:rsidR="00981E91" w:rsidRPr="00FC11BC" w:rsidRDefault="00933384" w:rsidP="00981E91">
      <w:pPr>
        <w:numPr>
          <w:ilvl w:val="0"/>
          <w:numId w:val="8"/>
        </w:numPr>
        <w:spacing w:before="100" w:beforeAutospacing="1" w:after="100" w:afterAutospacing="1" w:line="240" w:lineRule="auto"/>
        <w:rPr>
          <w:rFonts w:ascii="Calibri" w:eastAsia="Times New Roman" w:hAnsi="Calibri"/>
          <w:color w:val="FFFFFF" w:themeColor="background1"/>
        </w:rPr>
      </w:pPr>
      <w:r w:rsidRPr="00FC11BC">
        <w:rPr>
          <w:rFonts w:ascii="Calibri" w:eastAsia="Times New Roman" w:hAnsi="Calibri"/>
          <w:color w:val="FFFFFF" w:themeColor="background1"/>
        </w:rPr>
        <w:t>Health and Safety Risk assessments to include all chemical s held on site, i.e. dishwasher tablets and fairy liquid</w:t>
      </w:r>
    </w:p>
    <w:p w:rsidR="00FC11BC" w:rsidRDefault="00FC11BC" w:rsidP="00B2604B">
      <w:pPr>
        <w:spacing w:before="100" w:beforeAutospacing="1" w:after="100" w:afterAutospacing="1" w:line="240" w:lineRule="auto"/>
        <w:rPr>
          <w:rFonts w:ascii="Calibri" w:eastAsia="Times New Roman" w:hAnsi="Calibri"/>
          <w:b/>
        </w:rPr>
      </w:pPr>
      <w:r>
        <w:rPr>
          <w:rFonts w:ascii="Calibri" w:eastAsia="Times New Roman" w:hAnsi="Calibri"/>
          <w:b/>
        </w:rPr>
        <w:t>Governance</w:t>
      </w:r>
    </w:p>
    <w:p w:rsidR="00FC11BC" w:rsidRPr="00701016" w:rsidRDefault="00701016" w:rsidP="00FC11BC">
      <w:pPr>
        <w:pStyle w:val="ListParagraph"/>
        <w:numPr>
          <w:ilvl w:val="0"/>
          <w:numId w:val="11"/>
        </w:numPr>
        <w:spacing w:before="100" w:beforeAutospacing="1" w:after="100" w:afterAutospacing="1" w:line="240" w:lineRule="auto"/>
        <w:rPr>
          <w:rFonts w:ascii="Calibri" w:eastAsia="Times New Roman" w:hAnsi="Calibri"/>
        </w:rPr>
      </w:pPr>
      <w:r w:rsidRPr="00701016">
        <w:rPr>
          <w:rFonts w:ascii="Calibri" w:eastAsia="Times New Roman" w:hAnsi="Calibri"/>
        </w:rPr>
        <w:t xml:space="preserve">Governance processes </w:t>
      </w:r>
      <w:r w:rsidR="00DA7050">
        <w:rPr>
          <w:rFonts w:ascii="Calibri" w:eastAsia="Times New Roman" w:hAnsi="Calibri"/>
        </w:rPr>
        <w:t xml:space="preserve">are </w:t>
      </w:r>
      <w:r w:rsidRPr="00701016">
        <w:rPr>
          <w:rFonts w:ascii="Calibri" w:eastAsia="Times New Roman" w:hAnsi="Calibri"/>
        </w:rPr>
        <w:t>in place to ensure that information (changes, risks</w:t>
      </w:r>
      <w:r>
        <w:rPr>
          <w:rFonts w:ascii="Calibri" w:eastAsia="Times New Roman" w:hAnsi="Calibri"/>
        </w:rPr>
        <w:t>, concerns</w:t>
      </w:r>
      <w:r w:rsidRPr="00701016">
        <w:rPr>
          <w:rFonts w:ascii="Calibri" w:eastAsia="Times New Roman" w:hAnsi="Calibri"/>
        </w:rPr>
        <w:t>) is effectively communicated across</w:t>
      </w:r>
      <w:r>
        <w:rPr>
          <w:rFonts w:ascii="Calibri" w:eastAsia="Times New Roman" w:hAnsi="Calibri"/>
        </w:rPr>
        <w:t xml:space="preserve"> all levels of </w:t>
      </w:r>
      <w:r w:rsidRPr="00701016">
        <w:rPr>
          <w:rFonts w:ascii="Calibri" w:eastAsia="Times New Roman" w:hAnsi="Calibri"/>
        </w:rPr>
        <w:t xml:space="preserve"> the practice</w:t>
      </w:r>
      <w:r>
        <w:rPr>
          <w:rFonts w:ascii="Calibri" w:eastAsia="Times New Roman" w:hAnsi="Calibri"/>
        </w:rPr>
        <w:t xml:space="preserve"> (top-down and bottom-up)</w:t>
      </w:r>
    </w:p>
    <w:p w:rsidR="00FC11BC" w:rsidRDefault="00701016" w:rsidP="00B2604B">
      <w:pPr>
        <w:pStyle w:val="ListParagraph"/>
        <w:numPr>
          <w:ilvl w:val="0"/>
          <w:numId w:val="11"/>
        </w:numPr>
        <w:spacing w:before="100" w:beforeAutospacing="1" w:after="100" w:afterAutospacing="1" w:line="240" w:lineRule="auto"/>
        <w:rPr>
          <w:rFonts w:ascii="Calibri" w:eastAsia="Times New Roman" w:hAnsi="Calibri"/>
        </w:rPr>
      </w:pPr>
      <w:r w:rsidRPr="00701016">
        <w:rPr>
          <w:rFonts w:ascii="Calibri" w:eastAsia="Times New Roman" w:hAnsi="Calibri"/>
        </w:rPr>
        <w:t>Risk register to record risk and mitigations</w:t>
      </w:r>
    </w:p>
    <w:p w:rsidR="00701016" w:rsidRPr="00DA7050" w:rsidRDefault="00F705B6" w:rsidP="00B2604B">
      <w:pPr>
        <w:pStyle w:val="ListParagraph"/>
        <w:numPr>
          <w:ilvl w:val="0"/>
          <w:numId w:val="11"/>
        </w:numPr>
        <w:spacing w:before="100" w:beforeAutospacing="1" w:after="100" w:afterAutospacing="1" w:line="240" w:lineRule="auto"/>
        <w:rPr>
          <w:rFonts w:ascii="Calibri" w:eastAsia="Times New Roman" w:hAnsi="Calibri"/>
          <w:b/>
        </w:rPr>
      </w:pPr>
      <w:hyperlink r:id="rId12" w:history="1">
        <w:r w:rsidR="00DA7050" w:rsidRPr="00DA7050">
          <w:rPr>
            <w:rStyle w:val="Hyperlink"/>
          </w:rPr>
          <w:t>Nigel’s Surgery 65:  Effective clinical governance arrangements in GP practices</w:t>
        </w:r>
      </w:hyperlink>
      <w:r w:rsidR="00DA7050">
        <w:t xml:space="preserve"> </w:t>
      </w:r>
    </w:p>
    <w:p w:rsidR="00DA7050" w:rsidRPr="00A05C6E" w:rsidRDefault="00F705B6" w:rsidP="00A05C6E">
      <w:pPr>
        <w:pStyle w:val="ListParagraph"/>
        <w:numPr>
          <w:ilvl w:val="0"/>
          <w:numId w:val="11"/>
        </w:numPr>
        <w:shd w:val="clear" w:color="auto" w:fill="FFFFFF"/>
        <w:spacing w:after="80" w:line="240" w:lineRule="auto"/>
        <w:textAlignment w:val="baseline"/>
        <w:outlineLvl w:val="0"/>
        <w:rPr>
          <w:rFonts w:eastAsia="Times New Roman" w:cs="Arial"/>
          <w:bCs/>
          <w:color w:val="000000"/>
          <w:kern w:val="36"/>
          <w:lang w:eastAsia="en-GB"/>
        </w:rPr>
      </w:pPr>
      <w:hyperlink r:id="rId13" w:history="1">
        <w:r w:rsidR="00DA7050" w:rsidRPr="00DA7050">
          <w:rPr>
            <w:rStyle w:val="Hyperlink"/>
            <w:rFonts w:eastAsia="Times New Roman" w:cs="Arial"/>
            <w:bCs/>
            <w:kern w:val="36"/>
            <w:lang w:eastAsia="en-GB"/>
          </w:rPr>
          <w:t>CQC Essentials: Effective governance arrangements in GP practices</w:t>
        </w:r>
      </w:hyperlink>
    </w:p>
    <w:p w:rsidR="00377EEA" w:rsidRPr="00185A21" w:rsidRDefault="00377EEA" w:rsidP="00B2604B">
      <w:pPr>
        <w:spacing w:before="100" w:beforeAutospacing="1" w:after="100" w:afterAutospacing="1" w:line="240" w:lineRule="auto"/>
        <w:rPr>
          <w:rFonts w:ascii="Calibri" w:eastAsia="Times New Roman" w:hAnsi="Calibri"/>
          <w:b/>
        </w:rPr>
      </w:pPr>
      <w:r>
        <w:rPr>
          <w:rFonts w:ascii="Calibri" w:eastAsia="Times New Roman" w:hAnsi="Calibri"/>
          <w:b/>
        </w:rPr>
        <w:t xml:space="preserve">HR </w:t>
      </w:r>
      <w:r w:rsidRPr="00185A21">
        <w:rPr>
          <w:rFonts w:ascii="Calibri" w:eastAsia="Times New Roman" w:hAnsi="Calibri"/>
          <w:b/>
        </w:rPr>
        <w:t>processes</w:t>
      </w:r>
    </w:p>
    <w:p w:rsidR="00377EEA" w:rsidRDefault="00377EEA" w:rsidP="00377EEA">
      <w:pPr>
        <w:pStyle w:val="ListParagraph"/>
        <w:numPr>
          <w:ilvl w:val="0"/>
          <w:numId w:val="5"/>
        </w:numPr>
        <w:spacing w:before="100" w:beforeAutospacing="1" w:after="100" w:afterAutospacing="1" w:line="240" w:lineRule="auto"/>
        <w:rPr>
          <w:rFonts w:ascii="Calibri" w:eastAsia="Times New Roman" w:hAnsi="Calibri"/>
        </w:rPr>
      </w:pPr>
      <w:r w:rsidRPr="00185A21">
        <w:rPr>
          <w:rFonts w:ascii="Calibri" w:eastAsia="Times New Roman" w:hAnsi="Calibri"/>
        </w:rPr>
        <w:t>Staff are DBS checked in line with the practices policy</w:t>
      </w:r>
    </w:p>
    <w:p w:rsidR="00981E91" w:rsidRPr="00981E91" w:rsidRDefault="00981E91" w:rsidP="00981E91">
      <w:pPr>
        <w:numPr>
          <w:ilvl w:val="1"/>
          <w:numId w:val="5"/>
        </w:numPr>
        <w:spacing w:after="0" w:line="240" w:lineRule="auto"/>
        <w:rPr>
          <w:rFonts w:ascii="Calibri" w:eastAsia="Times New Roman" w:hAnsi="Calibri"/>
        </w:rPr>
      </w:pPr>
      <w:r w:rsidRPr="00981E91">
        <w:rPr>
          <w:rFonts w:ascii="Calibri" w:eastAsia="Times New Roman" w:hAnsi="Calibri"/>
        </w:rPr>
        <w:t>Safeguarding policies take into account patients accessing any online services</w:t>
      </w:r>
    </w:p>
    <w:p w:rsidR="00981E91" w:rsidRPr="00FC11BC" w:rsidRDefault="00981E91" w:rsidP="00FC11BC">
      <w:pPr>
        <w:pStyle w:val="ListParagraph"/>
        <w:numPr>
          <w:ilvl w:val="0"/>
          <w:numId w:val="5"/>
        </w:numPr>
      </w:pPr>
      <w:r w:rsidRPr="00981E91">
        <w:t>The practice should have oversight and documentation of all staff members training (skills and mandatory training)</w:t>
      </w:r>
    </w:p>
    <w:p w:rsidR="00377EEA" w:rsidRPr="0010609C" w:rsidRDefault="00377EEA" w:rsidP="00377EEA">
      <w:pPr>
        <w:pStyle w:val="ListParagraph"/>
        <w:numPr>
          <w:ilvl w:val="0"/>
          <w:numId w:val="5"/>
        </w:numPr>
        <w:spacing w:before="100" w:beforeAutospacing="1" w:after="100" w:afterAutospacing="1" w:line="240" w:lineRule="auto"/>
        <w:rPr>
          <w:rFonts w:ascii="Calibri" w:eastAsia="Times New Roman" w:hAnsi="Calibri"/>
        </w:rPr>
      </w:pPr>
      <w:r w:rsidRPr="00185A21">
        <w:rPr>
          <w:rFonts w:ascii="Calibri" w:eastAsia="Times New Roman" w:hAnsi="Calibri"/>
        </w:rPr>
        <w:t>Where the practice risk assesses whether staff need a DBS this should be evidenced in their HR file</w:t>
      </w:r>
    </w:p>
    <w:p w:rsidR="00377EEA" w:rsidRPr="0010609C" w:rsidRDefault="00F705B6" w:rsidP="00377EEA">
      <w:pPr>
        <w:pStyle w:val="ListParagraph"/>
        <w:numPr>
          <w:ilvl w:val="1"/>
          <w:numId w:val="5"/>
        </w:numPr>
      </w:pPr>
      <w:hyperlink r:id="rId14" w:history="1">
        <w:r w:rsidR="00377EEA" w:rsidRPr="0010609C">
          <w:rPr>
            <w:rStyle w:val="Hyperlink"/>
            <w:color w:val="auto"/>
          </w:rPr>
          <w:t>DBS checks - LMC guidance and resources</w:t>
        </w:r>
      </w:hyperlink>
    </w:p>
    <w:p w:rsidR="0010609C" w:rsidRPr="0010609C" w:rsidRDefault="00F705B6" w:rsidP="0010609C">
      <w:pPr>
        <w:pStyle w:val="ListParagraph"/>
        <w:numPr>
          <w:ilvl w:val="1"/>
          <w:numId w:val="5"/>
        </w:numPr>
      </w:pPr>
      <w:hyperlink r:id="rId15" w:history="1">
        <w:r w:rsidR="0010609C" w:rsidRPr="0010609C">
          <w:rPr>
            <w:rStyle w:val="Hyperlink"/>
            <w:color w:val="auto"/>
          </w:rPr>
          <w:t>Who should have a DBS check – Nigel’s Surgery</w:t>
        </w:r>
      </w:hyperlink>
    </w:p>
    <w:p w:rsidR="00185A21" w:rsidRPr="00185A21" w:rsidRDefault="00377EEA" w:rsidP="00185A21">
      <w:pPr>
        <w:pStyle w:val="ListParagraph"/>
        <w:numPr>
          <w:ilvl w:val="0"/>
          <w:numId w:val="5"/>
        </w:numPr>
      </w:pPr>
      <w:r w:rsidRPr="00185A21">
        <w:t>All Staff should have their CV/application and at least two references recorded in their HR file</w:t>
      </w:r>
    </w:p>
    <w:p w:rsidR="00185A21" w:rsidRPr="00185A21" w:rsidRDefault="00F705B6" w:rsidP="00185A21">
      <w:pPr>
        <w:pStyle w:val="ListParagraph"/>
        <w:numPr>
          <w:ilvl w:val="1"/>
          <w:numId w:val="5"/>
        </w:numPr>
      </w:pPr>
      <w:hyperlink r:id="rId16" w:history="1">
        <w:r w:rsidR="00185A21" w:rsidRPr="00185A21">
          <w:rPr>
            <w:rStyle w:val="Hyperlink"/>
            <w:color w:val="auto"/>
          </w:rPr>
          <w:t>NHS Employers Employment check</w:t>
        </w:r>
      </w:hyperlink>
    </w:p>
    <w:p w:rsidR="00377EEA" w:rsidRPr="00185A21" w:rsidRDefault="00377EEA" w:rsidP="00185A21">
      <w:pPr>
        <w:pStyle w:val="ListParagraph"/>
        <w:numPr>
          <w:ilvl w:val="0"/>
          <w:numId w:val="5"/>
        </w:numPr>
      </w:pPr>
      <w:r w:rsidRPr="00185A21">
        <w:t>Staff appraisals should be carried out as per the practice policy (every 1-2 years depending on staff group)</w:t>
      </w:r>
    </w:p>
    <w:p w:rsidR="00377EEA" w:rsidRDefault="00377EEA" w:rsidP="00377EEA">
      <w:pPr>
        <w:pStyle w:val="ListParagraph"/>
        <w:numPr>
          <w:ilvl w:val="1"/>
          <w:numId w:val="5"/>
        </w:numPr>
      </w:pPr>
      <w:r w:rsidRPr="00185A21">
        <w:t>Staff should be aware of when their next appraisal is due/frequency of appraisals</w:t>
      </w:r>
    </w:p>
    <w:p w:rsidR="00EB5D55" w:rsidRPr="00185A21" w:rsidRDefault="00EB5D55" w:rsidP="00377EEA">
      <w:pPr>
        <w:pStyle w:val="ListParagraph"/>
        <w:numPr>
          <w:ilvl w:val="1"/>
          <w:numId w:val="5"/>
        </w:numPr>
      </w:pPr>
      <w:r>
        <w:t>Staff should have a record of their appraisal/end of probation meeting</w:t>
      </w:r>
    </w:p>
    <w:p w:rsidR="00B2604B" w:rsidRPr="00185A21" w:rsidRDefault="00B2604B" w:rsidP="00B2604B">
      <w:pPr>
        <w:spacing w:before="100" w:beforeAutospacing="1" w:after="100" w:afterAutospacing="1" w:line="240" w:lineRule="auto"/>
        <w:rPr>
          <w:rFonts w:ascii="Calibri" w:eastAsia="Times New Roman" w:hAnsi="Calibri"/>
          <w:b/>
        </w:rPr>
      </w:pPr>
      <w:r w:rsidRPr="00185A21">
        <w:rPr>
          <w:rFonts w:ascii="Calibri" w:eastAsia="Times New Roman" w:hAnsi="Calibri"/>
          <w:b/>
        </w:rPr>
        <w:t>Policies</w:t>
      </w:r>
      <w:r w:rsidR="00185A21" w:rsidRPr="00185A21">
        <w:rPr>
          <w:rFonts w:ascii="Calibri" w:eastAsia="Times New Roman" w:hAnsi="Calibri"/>
          <w:b/>
        </w:rPr>
        <w:t xml:space="preserve"> and guidance</w:t>
      </w:r>
    </w:p>
    <w:p w:rsidR="00DD51D2" w:rsidRPr="00973DA5" w:rsidRDefault="00DD51D2" w:rsidP="00377EEA">
      <w:pPr>
        <w:numPr>
          <w:ilvl w:val="0"/>
          <w:numId w:val="1"/>
        </w:numPr>
        <w:spacing w:after="0" w:line="240" w:lineRule="auto"/>
        <w:rPr>
          <w:rFonts w:ascii="Calibri" w:eastAsia="Times New Roman" w:hAnsi="Calibri"/>
        </w:rPr>
      </w:pPr>
      <w:r w:rsidRPr="00973DA5">
        <w:rPr>
          <w:rFonts w:ascii="Calibri" w:eastAsia="Times New Roman" w:hAnsi="Calibri"/>
        </w:rPr>
        <w:t>Transgender guidance</w:t>
      </w:r>
    </w:p>
    <w:p w:rsidR="00DD51D2" w:rsidRPr="00973DA5" w:rsidRDefault="00E20045" w:rsidP="00377EEA">
      <w:pPr>
        <w:numPr>
          <w:ilvl w:val="1"/>
          <w:numId w:val="1"/>
        </w:numPr>
        <w:spacing w:after="0" w:line="240" w:lineRule="auto"/>
        <w:rPr>
          <w:rFonts w:ascii="Calibri" w:eastAsia="Times New Roman" w:hAnsi="Calibri"/>
        </w:rPr>
      </w:pPr>
      <w:r w:rsidRPr="00973DA5">
        <w:rPr>
          <w:rFonts w:ascii="Calibri" w:eastAsia="Times New Roman" w:hAnsi="Calibri"/>
        </w:rPr>
        <w:t>Ensure all staff are aware of new guidance around transgender patients</w:t>
      </w:r>
    </w:p>
    <w:p w:rsidR="00DD51D2" w:rsidRPr="00973DA5" w:rsidRDefault="00F705B6" w:rsidP="00377EEA">
      <w:pPr>
        <w:pStyle w:val="ListParagraph"/>
        <w:numPr>
          <w:ilvl w:val="1"/>
          <w:numId w:val="1"/>
        </w:numPr>
        <w:spacing w:after="0"/>
      </w:pPr>
      <w:hyperlink r:id="rId17" w:history="1">
        <w:r w:rsidR="00973DA5" w:rsidRPr="00973DA5">
          <w:rPr>
            <w:rStyle w:val="Hyperlink"/>
            <w:color w:val="auto"/>
          </w:rPr>
          <w:t>Transgender Patients / Gender Reassignment LMC guidance</w:t>
        </w:r>
      </w:hyperlink>
    </w:p>
    <w:p w:rsidR="00973DA5" w:rsidRDefault="00D95EF4" w:rsidP="00377EEA">
      <w:pPr>
        <w:numPr>
          <w:ilvl w:val="0"/>
          <w:numId w:val="1"/>
        </w:numPr>
        <w:spacing w:after="0" w:line="240" w:lineRule="auto"/>
        <w:ind w:left="714" w:hanging="357"/>
        <w:rPr>
          <w:rFonts w:ascii="Calibri" w:eastAsia="Times New Roman" w:hAnsi="Calibri"/>
        </w:rPr>
      </w:pPr>
      <w:r w:rsidRPr="00973DA5">
        <w:rPr>
          <w:rFonts w:ascii="Calibri" w:eastAsia="Times New Roman" w:hAnsi="Calibri"/>
        </w:rPr>
        <w:t>S</w:t>
      </w:r>
      <w:r w:rsidR="00E20045" w:rsidRPr="00973DA5">
        <w:rPr>
          <w:rFonts w:ascii="Calibri" w:eastAsia="Times New Roman" w:hAnsi="Calibri"/>
        </w:rPr>
        <w:t>afeguarding – pushing for nurses to be level 3, although this isn’t mandatory</w:t>
      </w:r>
    </w:p>
    <w:p w:rsidR="00377EEA" w:rsidRDefault="00377EEA" w:rsidP="00377EEA">
      <w:pPr>
        <w:numPr>
          <w:ilvl w:val="0"/>
          <w:numId w:val="1"/>
        </w:numPr>
        <w:spacing w:after="0" w:line="240" w:lineRule="auto"/>
        <w:ind w:left="714" w:hanging="357"/>
        <w:rPr>
          <w:rFonts w:ascii="Calibri" w:eastAsia="Times New Roman" w:hAnsi="Calibri"/>
        </w:rPr>
      </w:pPr>
      <w:r>
        <w:rPr>
          <w:rFonts w:ascii="Calibri" w:eastAsia="Times New Roman" w:hAnsi="Calibri"/>
        </w:rPr>
        <w:t>Safeguarding policies include:</w:t>
      </w:r>
    </w:p>
    <w:p w:rsidR="00377EEA" w:rsidRDefault="00377EEA" w:rsidP="00377EEA">
      <w:pPr>
        <w:numPr>
          <w:ilvl w:val="1"/>
          <w:numId w:val="1"/>
        </w:numPr>
        <w:spacing w:after="0" w:line="240" w:lineRule="auto"/>
        <w:rPr>
          <w:rFonts w:ascii="Calibri" w:eastAsia="Times New Roman" w:hAnsi="Calibri"/>
        </w:rPr>
      </w:pPr>
      <w:r>
        <w:rPr>
          <w:rFonts w:ascii="Calibri" w:eastAsia="Times New Roman" w:hAnsi="Calibri"/>
        </w:rPr>
        <w:t>Frequency of mandatory training in line with the intercollegiate document</w:t>
      </w:r>
    </w:p>
    <w:p w:rsidR="00377EEA" w:rsidRDefault="00185A21" w:rsidP="00377EEA">
      <w:pPr>
        <w:numPr>
          <w:ilvl w:val="1"/>
          <w:numId w:val="1"/>
        </w:numPr>
        <w:spacing w:after="0" w:line="240" w:lineRule="auto"/>
        <w:rPr>
          <w:rFonts w:ascii="Calibri" w:eastAsia="Times New Roman" w:hAnsi="Calibri"/>
        </w:rPr>
      </w:pPr>
      <w:r>
        <w:rPr>
          <w:rFonts w:ascii="Calibri" w:eastAsia="Times New Roman" w:hAnsi="Calibri"/>
        </w:rPr>
        <w:t>Safeguarding policies take into account patients accessing any online services</w:t>
      </w:r>
    </w:p>
    <w:p w:rsidR="00185A21" w:rsidRPr="00185A21" w:rsidRDefault="00F705B6" w:rsidP="00185A21">
      <w:pPr>
        <w:pStyle w:val="ListParagraph"/>
        <w:numPr>
          <w:ilvl w:val="2"/>
          <w:numId w:val="1"/>
        </w:numPr>
        <w:spacing w:after="0"/>
        <w:ind w:hanging="357"/>
      </w:pPr>
      <w:hyperlink r:id="rId18" w:history="1">
        <w:r w:rsidR="00185A21" w:rsidRPr="00006440">
          <w:rPr>
            <w:rStyle w:val="Hyperlink"/>
            <w:color w:val="auto"/>
          </w:rPr>
          <w:t>Safeguarding related to Online Services - Coercion and Proxy Access NHS England</w:t>
        </w:r>
      </w:hyperlink>
    </w:p>
    <w:p w:rsidR="00377EEA" w:rsidRPr="00377EEA" w:rsidRDefault="00377EEA" w:rsidP="00185A21">
      <w:pPr>
        <w:numPr>
          <w:ilvl w:val="0"/>
          <w:numId w:val="1"/>
        </w:numPr>
        <w:spacing w:after="0" w:line="240" w:lineRule="auto"/>
        <w:ind w:hanging="357"/>
        <w:rPr>
          <w:rFonts w:ascii="Calibri" w:eastAsia="Times New Roman" w:hAnsi="Calibri"/>
          <w:color w:val="000000"/>
        </w:rPr>
      </w:pPr>
      <w:r>
        <w:rPr>
          <w:rFonts w:ascii="Calibri" w:eastAsia="Times New Roman" w:hAnsi="Calibri"/>
          <w:color w:val="000000"/>
        </w:rPr>
        <w:t>Policies are in date and reflect what is happening in practice – i.e. align with training matrix</w:t>
      </w:r>
    </w:p>
    <w:p w:rsidR="00377EEA" w:rsidRDefault="00377EEA" w:rsidP="00377EEA">
      <w:pPr>
        <w:rPr>
          <w:b/>
        </w:rPr>
      </w:pPr>
    </w:p>
    <w:p w:rsidR="00377EEA" w:rsidRPr="00B2604B" w:rsidRDefault="00377EEA" w:rsidP="00377EEA">
      <w:pPr>
        <w:rPr>
          <w:b/>
        </w:rPr>
      </w:pPr>
      <w:r w:rsidRPr="00B2604B">
        <w:rPr>
          <w:b/>
        </w:rPr>
        <w:t>Staff training and competency</w:t>
      </w:r>
    </w:p>
    <w:p w:rsidR="00377EEA" w:rsidRDefault="00377EEA" w:rsidP="00377EEA">
      <w:pPr>
        <w:pStyle w:val="ListParagraph"/>
        <w:numPr>
          <w:ilvl w:val="0"/>
          <w:numId w:val="1"/>
        </w:numPr>
        <w:ind w:hanging="357"/>
      </w:pPr>
      <w:r>
        <w:t>The practice should have oversight and documentation of all staff members training (skills and mandatory training)</w:t>
      </w:r>
    </w:p>
    <w:p w:rsidR="00377EEA" w:rsidRDefault="00377EEA" w:rsidP="00377EEA">
      <w:pPr>
        <w:pStyle w:val="ListParagraph"/>
        <w:numPr>
          <w:ilvl w:val="0"/>
          <w:numId w:val="1"/>
        </w:numPr>
        <w:ind w:hanging="357"/>
      </w:pPr>
      <w:r w:rsidRPr="00B2604B">
        <w:t>Looking at more depth on competency for staff  and how it is monitored</w:t>
      </w:r>
    </w:p>
    <w:p w:rsidR="00377EEA" w:rsidRPr="00B2604B" w:rsidRDefault="00377EEA" w:rsidP="00377EEA">
      <w:pPr>
        <w:pStyle w:val="ListParagraph"/>
        <w:numPr>
          <w:ilvl w:val="0"/>
          <w:numId w:val="1"/>
        </w:numPr>
        <w:ind w:hanging="357"/>
      </w:pPr>
      <w:r w:rsidRPr="00B2604B">
        <w:rPr>
          <w:rFonts w:ascii="Calibri" w:eastAsia="Times New Roman" w:hAnsi="Calibri"/>
        </w:rPr>
        <w:t xml:space="preserve">HCA and admin staff didn’t know anything on sepsis, LMC or WHCCG provide a lunch and learn  </w:t>
      </w:r>
    </w:p>
    <w:p w:rsidR="00377EEA" w:rsidRPr="00B2604B" w:rsidRDefault="00F705B6" w:rsidP="00377EEA">
      <w:pPr>
        <w:pStyle w:val="ListParagraph"/>
        <w:numPr>
          <w:ilvl w:val="1"/>
          <w:numId w:val="1"/>
        </w:numPr>
        <w:spacing w:after="0"/>
      </w:pPr>
      <w:hyperlink r:id="rId19" w:history="1">
        <w:r w:rsidR="00377EEA" w:rsidRPr="00B2604B">
          <w:rPr>
            <w:rStyle w:val="Hyperlink"/>
            <w:color w:val="auto"/>
          </w:rPr>
          <w:t>Sepsis and NEWS2 LMC Lunch &amp; Learn</w:t>
        </w:r>
      </w:hyperlink>
    </w:p>
    <w:p w:rsidR="00377EEA" w:rsidRPr="00267661" w:rsidRDefault="00377EEA" w:rsidP="00377EEA">
      <w:pPr>
        <w:numPr>
          <w:ilvl w:val="0"/>
          <w:numId w:val="1"/>
        </w:numPr>
        <w:tabs>
          <w:tab w:val="clear" w:pos="720"/>
          <w:tab w:val="num" w:pos="1080"/>
        </w:tabs>
        <w:spacing w:after="0" w:line="240" w:lineRule="auto"/>
        <w:ind w:left="714" w:hanging="357"/>
        <w:rPr>
          <w:rFonts w:ascii="Calibri" w:eastAsia="Times New Roman" w:hAnsi="Calibri"/>
        </w:rPr>
      </w:pPr>
      <w:r w:rsidRPr="00267661">
        <w:rPr>
          <w:rFonts w:ascii="Calibri" w:eastAsia="Times New Roman" w:hAnsi="Calibri"/>
        </w:rPr>
        <w:t xml:space="preserve">PGD’s </w:t>
      </w:r>
    </w:p>
    <w:p w:rsidR="00377EEA" w:rsidRPr="00267661" w:rsidRDefault="00377EEA" w:rsidP="00377EEA">
      <w:pPr>
        <w:pStyle w:val="ListParagraph"/>
        <w:numPr>
          <w:ilvl w:val="0"/>
          <w:numId w:val="3"/>
        </w:numPr>
        <w:spacing w:after="0"/>
        <w:ind w:left="1077" w:hanging="357"/>
        <w:rPr>
          <w:rFonts w:ascii="Calibri" w:eastAsia="Times New Roman" w:hAnsi="Calibri"/>
        </w:rPr>
      </w:pPr>
      <w:r w:rsidRPr="00267661">
        <w:t>All PGD’s are in date</w:t>
      </w:r>
    </w:p>
    <w:p w:rsidR="00377EEA" w:rsidRPr="00267661" w:rsidRDefault="00377EEA" w:rsidP="00377EEA">
      <w:pPr>
        <w:pStyle w:val="ListParagraph"/>
        <w:numPr>
          <w:ilvl w:val="0"/>
          <w:numId w:val="4"/>
        </w:numPr>
        <w:tabs>
          <w:tab w:val="clear" w:pos="720"/>
          <w:tab w:val="num" w:pos="1440"/>
        </w:tabs>
        <w:ind w:left="1080"/>
      </w:pPr>
      <w:r w:rsidRPr="00267661">
        <w:t>Remove any old versions so that they do not accidently get mixed up</w:t>
      </w:r>
    </w:p>
    <w:p w:rsidR="00377EEA" w:rsidRPr="00267661" w:rsidRDefault="00377EEA" w:rsidP="00377EEA">
      <w:pPr>
        <w:pStyle w:val="ListParagraph"/>
        <w:numPr>
          <w:ilvl w:val="0"/>
          <w:numId w:val="4"/>
        </w:numPr>
        <w:tabs>
          <w:tab w:val="clear" w:pos="720"/>
          <w:tab w:val="num" w:pos="1440"/>
        </w:tabs>
        <w:ind w:left="1080"/>
      </w:pPr>
      <w:r w:rsidRPr="00267661">
        <w:t>Signed by an authorising person (GP) who is a current member of staff</w:t>
      </w:r>
      <w:r w:rsidR="00BE42FF">
        <w:t xml:space="preserve"> and signed in the correct place</w:t>
      </w:r>
    </w:p>
    <w:p w:rsidR="00377EEA" w:rsidRPr="00267661" w:rsidRDefault="00377EEA" w:rsidP="00377EEA">
      <w:pPr>
        <w:pStyle w:val="ListParagraph"/>
        <w:numPr>
          <w:ilvl w:val="0"/>
          <w:numId w:val="4"/>
        </w:numPr>
        <w:tabs>
          <w:tab w:val="clear" w:pos="720"/>
          <w:tab w:val="num" w:pos="1440"/>
        </w:tabs>
        <w:ind w:left="1080"/>
      </w:pPr>
      <w:r w:rsidRPr="00267661">
        <w:t>There is evidence that all staff using the PGD have had a yearly update on the PGD</w:t>
      </w:r>
    </w:p>
    <w:p w:rsidR="00377EEA" w:rsidRPr="00267661" w:rsidRDefault="00377EEA" w:rsidP="00377EEA">
      <w:pPr>
        <w:pStyle w:val="ListParagraph"/>
        <w:numPr>
          <w:ilvl w:val="0"/>
          <w:numId w:val="4"/>
        </w:numPr>
        <w:tabs>
          <w:tab w:val="clear" w:pos="720"/>
          <w:tab w:val="num" w:pos="1440"/>
        </w:tabs>
        <w:ind w:left="1080"/>
      </w:pPr>
      <w:r w:rsidRPr="00267661">
        <w:t>Consider adding a PGD update as a standing agenda item on the nurses meeting</w:t>
      </w:r>
    </w:p>
    <w:p w:rsidR="00377EEA" w:rsidRPr="00267661" w:rsidRDefault="00377EEA" w:rsidP="00377EEA">
      <w:pPr>
        <w:pStyle w:val="ListParagraph"/>
        <w:numPr>
          <w:ilvl w:val="0"/>
          <w:numId w:val="4"/>
        </w:numPr>
        <w:tabs>
          <w:tab w:val="clear" w:pos="720"/>
          <w:tab w:val="num" w:pos="1440"/>
        </w:tabs>
        <w:ind w:left="1080"/>
      </w:pPr>
      <w:r w:rsidRPr="00267661">
        <w:t>All staff using the PGD’s should have access to a copy of the document (either printed or electronic)</w:t>
      </w:r>
    </w:p>
    <w:p w:rsidR="00377EEA" w:rsidRPr="00EB5D55" w:rsidRDefault="00F705B6" w:rsidP="00377EEA">
      <w:pPr>
        <w:pStyle w:val="ListParagraph"/>
        <w:numPr>
          <w:ilvl w:val="1"/>
          <w:numId w:val="4"/>
        </w:numPr>
        <w:rPr>
          <w:rStyle w:val="Hyperlink"/>
          <w:color w:val="auto"/>
          <w:u w:val="none"/>
        </w:rPr>
      </w:pPr>
      <w:hyperlink r:id="rId20" w:history="1">
        <w:r w:rsidR="00377EEA" w:rsidRPr="00267661">
          <w:rPr>
            <w:rStyle w:val="Hyperlink"/>
            <w:color w:val="auto"/>
          </w:rPr>
          <w:t>NICE guidance - Patient Group Directions</w:t>
        </w:r>
      </w:hyperlink>
    </w:p>
    <w:p w:rsidR="00EB5D55" w:rsidRPr="00EB5D55" w:rsidRDefault="00EB5D55" w:rsidP="00EB5D55">
      <w:pPr>
        <w:pStyle w:val="ListParagraph"/>
        <w:numPr>
          <w:ilvl w:val="0"/>
          <w:numId w:val="4"/>
        </w:numPr>
      </w:pPr>
      <w:r w:rsidRPr="00EB5D55">
        <w:rPr>
          <w:rStyle w:val="Hyperlink"/>
          <w:color w:val="auto"/>
          <w:u w:val="none"/>
        </w:rPr>
        <w:t>Clear and documented staff induction process for all staff groups</w:t>
      </w:r>
    </w:p>
    <w:p w:rsidR="00377EEA" w:rsidRPr="00B2604B" w:rsidRDefault="00377EEA" w:rsidP="00377EEA">
      <w:pPr>
        <w:rPr>
          <w:b/>
        </w:rPr>
      </w:pPr>
      <w:r w:rsidRPr="00B2604B">
        <w:rPr>
          <w:rFonts w:ascii="Calibri" w:eastAsia="Times New Roman" w:hAnsi="Calibri"/>
          <w:b/>
        </w:rPr>
        <w:t>Systems and processes</w:t>
      </w:r>
    </w:p>
    <w:p w:rsidR="00981E91" w:rsidRPr="00981E91" w:rsidRDefault="00981E91" w:rsidP="00981E91">
      <w:pPr>
        <w:pStyle w:val="ListParagraph"/>
        <w:numPr>
          <w:ilvl w:val="0"/>
          <w:numId w:val="1"/>
        </w:numPr>
      </w:pPr>
      <w:r w:rsidRPr="00981E91">
        <w:rPr>
          <w:rFonts w:ascii="Calibri" w:eastAsia="Times New Roman" w:hAnsi="Calibri"/>
        </w:rPr>
        <w:t>How does the practice ensure that information gets to all staff members i.e. SEA, NICE guidance, CAS alerts and what assurance have they got that this has been sent to all staff and appropriately actioned</w:t>
      </w:r>
    </w:p>
    <w:p w:rsidR="00377EEA" w:rsidRPr="00973DA5" w:rsidRDefault="00377EEA" w:rsidP="00377EEA">
      <w:pPr>
        <w:pStyle w:val="ListParagraph"/>
        <w:numPr>
          <w:ilvl w:val="0"/>
          <w:numId w:val="1"/>
        </w:numPr>
        <w:ind w:hanging="357"/>
      </w:pPr>
      <w:r w:rsidRPr="00B2604B">
        <w:rPr>
          <w:rFonts w:ascii="Calibri" w:eastAsia="Times New Roman" w:hAnsi="Calibri"/>
        </w:rPr>
        <w:t>Methotrexate, Lithium and Warfarin monitoring</w:t>
      </w:r>
      <w:r>
        <w:rPr>
          <w:rFonts w:ascii="Calibri" w:eastAsia="Times New Roman" w:hAnsi="Calibri"/>
        </w:rPr>
        <w:t xml:space="preserve"> systems</w:t>
      </w:r>
    </w:p>
    <w:p w:rsidR="00377EEA" w:rsidRPr="00377EEA" w:rsidRDefault="00377EEA" w:rsidP="00377EEA">
      <w:pPr>
        <w:pStyle w:val="ListParagraph"/>
        <w:numPr>
          <w:ilvl w:val="0"/>
          <w:numId w:val="1"/>
        </w:numPr>
        <w:ind w:hanging="357"/>
      </w:pPr>
      <w:r w:rsidRPr="00973DA5">
        <w:rPr>
          <w:rFonts w:ascii="Calibri" w:eastAsia="Times New Roman" w:hAnsi="Calibri"/>
          <w:color w:val="000000"/>
        </w:rPr>
        <w:t>Cervical smear process and SOP’s, ensure you are reviewing any rejected samples</w:t>
      </w:r>
    </w:p>
    <w:p w:rsidR="00377EEA" w:rsidRPr="00377EEA" w:rsidRDefault="00377EEA" w:rsidP="00377EEA">
      <w:pPr>
        <w:pStyle w:val="ListParagraph"/>
        <w:numPr>
          <w:ilvl w:val="0"/>
          <w:numId w:val="1"/>
        </w:numPr>
        <w:ind w:hanging="357"/>
      </w:pPr>
      <w:r w:rsidRPr="00377EEA">
        <w:rPr>
          <w:rFonts w:ascii="Calibri" w:eastAsia="Times New Roman" w:hAnsi="Calibri"/>
          <w:color w:val="000000"/>
        </w:rPr>
        <w:t>How does the practice ensure that information gets to all staff members i.e. SEA, NICE guidance, CAS alerts and what assurance have they got that this has been sent to all staff and appropriately actioned</w:t>
      </w:r>
    </w:p>
    <w:p w:rsidR="00377EEA" w:rsidRPr="00377EEA" w:rsidRDefault="00377EEA" w:rsidP="00377EEA">
      <w:pPr>
        <w:pStyle w:val="ListParagraph"/>
        <w:numPr>
          <w:ilvl w:val="0"/>
          <w:numId w:val="1"/>
        </w:numPr>
        <w:ind w:hanging="357"/>
      </w:pPr>
      <w:r w:rsidRPr="00377EEA">
        <w:rPr>
          <w:rFonts w:ascii="Calibri" w:eastAsia="Times New Roman" w:hAnsi="Calibri"/>
          <w:color w:val="000000"/>
        </w:rPr>
        <w:t xml:space="preserve">SEA’s have learning and actions attached </w:t>
      </w:r>
    </w:p>
    <w:p w:rsidR="00377EEA" w:rsidRPr="00377EEA" w:rsidRDefault="00377EEA" w:rsidP="00377EEA">
      <w:pPr>
        <w:pStyle w:val="ListParagraph"/>
        <w:numPr>
          <w:ilvl w:val="0"/>
          <w:numId w:val="1"/>
        </w:numPr>
        <w:ind w:hanging="357"/>
      </w:pPr>
      <w:r>
        <w:rPr>
          <w:rFonts w:ascii="Calibri" w:eastAsia="Times New Roman" w:hAnsi="Calibri"/>
          <w:color w:val="000000"/>
        </w:rPr>
        <w:t>Duty of candour is carried out and recorded</w:t>
      </w:r>
    </w:p>
    <w:p w:rsidR="00377EEA" w:rsidRPr="00377EEA" w:rsidRDefault="00377EEA" w:rsidP="00377EEA">
      <w:pPr>
        <w:pStyle w:val="ListParagraph"/>
        <w:numPr>
          <w:ilvl w:val="1"/>
          <w:numId w:val="1"/>
        </w:numPr>
        <w:rPr>
          <w:rStyle w:val="Hyperlink"/>
          <w:color w:val="auto"/>
        </w:rPr>
      </w:pPr>
      <w:r w:rsidRPr="00377EEA">
        <w:fldChar w:fldCharType="begin"/>
      </w:r>
      <w:r w:rsidRPr="00377EEA">
        <w:instrText xml:space="preserve"> HYPERLINK "https://www.cqc.org.uk/guidance-providers/regulations-enforcement/regulation-20-duty-candour" </w:instrText>
      </w:r>
      <w:r w:rsidRPr="00377EEA">
        <w:fldChar w:fldCharType="separate"/>
      </w:r>
      <w:r w:rsidRPr="00377EEA">
        <w:rPr>
          <w:rStyle w:val="Hyperlink"/>
          <w:color w:val="auto"/>
        </w:rPr>
        <w:t>Duty of Candour guidance from CQC</w:t>
      </w:r>
    </w:p>
    <w:p w:rsidR="00377EEA" w:rsidRPr="0010609C" w:rsidRDefault="00377EEA" w:rsidP="00377EEA">
      <w:pPr>
        <w:pStyle w:val="ListParagraph"/>
        <w:numPr>
          <w:ilvl w:val="0"/>
          <w:numId w:val="1"/>
        </w:numPr>
        <w:ind w:hanging="357"/>
      </w:pPr>
      <w:r w:rsidRPr="00377EEA">
        <w:fldChar w:fldCharType="end"/>
      </w:r>
      <w:r w:rsidRPr="00377EEA">
        <w:rPr>
          <w:rFonts w:ascii="Calibri" w:eastAsia="Times New Roman" w:hAnsi="Calibri"/>
        </w:rPr>
        <w:t>Complaints have been reviewed and evidence of learning and actions</w:t>
      </w:r>
    </w:p>
    <w:p w:rsidR="0010609C" w:rsidRPr="00377EEA" w:rsidRDefault="0010609C" w:rsidP="00377EEA">
      <w:pPr>
        <w:pStyle w:val="ListParagraph"/>
        <w:numPr>
          <w:ilvl w:val="0"/>
          <w:numId w:val="1"/>
        </w:numPr>
        <w:ind w:hanging="357"/>
      </w:pPr>
      <w:r>
        <w:rPr>
          <w:rFonts w:ascii="Calibri" w:eastAsia="Times New Roman" w:hAnsi="Calibri"/>
        </w:rPr>
        <w:t>Process for the monitoring of the registration of all clinical staff including GP’s</w:t>
      </w:r>
    </w:p>
    <w:p w:rsidR="00377EEA" w:rsidRPr="00377EEA" w:rsidRDefault="00377EEA" w:rsidP="00377EEA">
      <w:pPr>
        <w:spacing w:before="100" w:beforeAutospacing="1" w:after="100" w:afterAutospacing="1" w:line="240" w:lineRule="auto"/>
        <w:rPr>
          <w:rFonts w:ascii="Calibri" w:eastAsia="Times New Roman" w:hAnsi="Calibri"/>
          <w:b/>
        </w:rPr>
      </w:pPr>
      <w:r w:rsidRPr="00377EEA">
        <w:rPr>
          <w:rFonts w:ascii="Calibri" w:eastAsia="Times New Roman" w:hAnsi="Calibri"/>
          <w:b/>
        </w:rPr>
        <w:t>Infection Prevention &amp; Control</w:t>
      </w:r>
    </w:p>
    <w:p w:rsidR="00377EEA" w:rsidRPr="00377EEA" w:rsidRDefault="00377EEA" w:rsidP="00377EEA">
      <w:pPr>
        <w:numPr>
          <w:ilvl w:val="0"/>
          <w:numId w:val="1"/>
        </w:numPr>
        <w:spacing w:before="100" w:beforeAutospacing="1" w:after="100" w:afterAutospacing="1" w:line="240" w:lineRule="auto"/>
        <w:rPr>
          <w:rFonts w:ascii="Calibri" w:eastAsia="Times New Roman" w:hAnsi="Calibri"/>
        </w:rPr>
      </w:pPr>
      <w:r w:rsidRPr="00377EEA">
        <w:rPr>
          <w:rFonts w:ascii="Calibri" w:eastAsia="Times New Roman" w:hAnsi="Calibri"/>
        </w:rPr>
        <w:t>Water safety</w:t>
      </w:r>
    </w:p>
    <w:p w:rsidR="00377EEA" w:rsidRPr="00377EEA" w:rsidRDefault="00377EEA" w:rsidP="00377EEA">
      <w:pPr>
        <w:numPr>
          <w:ilvl w:val="1"/>
          <w:numId w:val="1"/>
        </w:numPr>
        <w:spacing w:before="100" w:beforeAutospacing="1" w:after="100" w:afterAutospacing="1" w:line="240" w:lineRule="auto"/>
        <w:rPr>
          <w:rFonts w:ascii="Calibri" w:eastAsia="Times New Roman" w:hAnsi="Calibri"/>
        </w:rPr>
      </w:pPr>
      <w:r w:rsidRPr="00377EEA">
        <w:rPr>
          <w:rFonts w:ascii="Calibri" w:eastAsia="Times New Roman" w:hAnsi="Calibri"/>
        </w:rPr>
        <w:t>Water safety audit every 3 years</w:t>
      </w:r>
    </w:p>
    <w:p w:rsidR="00377EEA" w:rsidRPr="00377EEA" w:rsidRDefault="00377EEA" w:rsidP="00377EEA">
      <w:pPr>
        <w:numPr>
          <w:ilvl w:val="1"/>
          <w:numId w:val="1"/>
        </w:numPr>
        <w:spacing w:before="100" w:beforeAutospacing="1" w:after="100" w:afterAutospacing="1" w:line="240" w:lineRule="auto"/>
        <w:rPr>
          <w:rFonts w:ascii="Calibri" w:eastAsia="Times New Roman" w:hAnsi="Calibri"/>
        </w:rPr>
      </w:pPr>
      <w:r w:rsidRPr="00377EEA">
        <w:rPr>
          <w:rFonts w:ascii="Calibri" w:eastAsia="Times New Roman" w:hAnsi="Calibri"/>
        </w:rPr>
        <w:t>Flushing all underused outlets weekly</w:t>
      </w:r>
    </w:p>
    <w:p w:rsidR="00377EEA" w:rsidRPr="00377EEA" w:rsidRDefault="00377EEA" w:rsidP="00377EEA">
      <w:pPr>
        <w:numPr>
          <w:ilvl w:val="1"/>
          <w:numId w:val="1"/>
        </w:numPr>
        <w:tabs>
          <w:tab w:val="clear" w:pos="1440"/>
          <w:tab w:val="num" w:pos="2160"/>
        </w:tabs>
        <w:spacing w:after="0" w:line="240" w:lineRule="auto"/>
        <w:ind w:left="1434" w:hanging="357"/>
        <w:rPr>
          <w:rFonts w:ascii="Calibri" w:eastAsia="Times New Roman" w:hAnsi="Calibri"/>
        </w:rPr>
      </w:pPr>
      <w:r w:rsidRPr="00377EEA">
        <w:rPr>
          <w:rFonts w:ascii="Calibri" w:eastAsia="Times New Roman" w:hAnsi="Calibri"/>
        </w:rPr>
        <w:t>Temperature testing of sentinel outlet and random outlets (hot and cold) monthly</w:t>
      </w:r>
    </w:p>
    <w:p w:rsidR="00377EEA" w:rsidRPr="00377EEA" w:rsidRDefault="00377EEA" w:rsidP="00377EEA">
      <w:pPr>
        <w:numPr>
          <w:ilvl w:val="0"/>
          <w:numId w:val="1"/>
        </w:numPr>
        <w:spacing w:before="100" w:beforeAutospacing="1" w:after="100" w:afterAutospacing="1" w:line="240" w:lineRule="auto"/>
        <w:rPr>
          <w:rFonts w:ascii="Calibri" w:eastAsia="Times New Roman" w:hAnsi="Calibri"/>
        </w:rPr>
      </w:pPr>
      <w:r w:rsidRPr="00377EEA">
        <w:rPr>
          <w:rFonts w:ascii="Calibri" w:eastAsia="Times New Roman" w:hAnsi="Calibri"/>
        </w:rPr>
        <w:t>Curtains should be changed/laundered as per CQC myth buster page</w:t>
      </w:r>
    </w:p>
    <w:p w:rsidR="00377EEA" w:rsidRPr="00377EEA" w:rsidRDefault="00F705B6" w:rsidP="00377EEA">
      <w:pPr>
        <w:numPr>
          <w:ilvl w:val="1"/>
          <w:numId w:val="1"/>
        </w:numPr>
        <w:spacing w:after="0" w:line="240" w:lineRule="auto"/>
        <w:ind w:left="1434" w:hanging="357"/>
        <w:rPr>
          <w:rFonts w:ascii="Calibri" w:eastAsia="Times New Roman" w:hAnsi="Calibri"/>
        </w:rPr>
      </w:pPr>
      <w:hyperlink r:id="rId21" w:history="1">
        <w:r w:rsidR="00377EEA" w:rsidRPr="00377EEA">
          <w:rPr>
            <w:rStyle w:val="Hyperlink"/>
            <w:rFonts w:ascii="Calibri" w:eastAsia="Times New Roman" w:hAnsi="Calibri"/>
            <w:color w:val="auto"/>
          </w:rPr>
          <w:t>CQC curtain guidance</w:t>
        </w:r>
      </w:hyperlink>
    </w:p>
    <w:p w:rsidR="00377EEA" w:rsidRDefault="00377EEA" w:rsidP="00377EEA">
      <w:pPr>
        <w:numPr>
          <w:ilvl w:val="0"/>
          <w:numId w:val="1"/>
        </w:numPr>
        <w:spacing w:before="100" w:beforeAutospacing="1" w:after="100" w:afterAutospacing="1" w:line="240" w:lineRule="auto"/>
        <w:rPr>
          <w:rFonts w:ascii="Calibri" w:eastAsia="Times New Roman" w:hAnsi="Calibri"/>
          <w:color w:val="000000"/>
        </w:rPr>
      </w:pPr>
      <w:r w:rsidRPr="00FB2773">
        <w:rPr>
          <w:rFonts w:ascii="Calibri" w:eastAsia="Times New Roman" w:hAnsi="Calibri"/>
          <w:color w:val="000000"/>
        </w:rPr>
        <w:t xml:space="preserve">Sharps bins disposed of once open </w:t>
      </w:r>
      <w:r>
        <w:rPr>
          <w:rFonts w:ascii="Calibri" w:eastAsia="Times New Roman" w:hAnsi="Calibri"/>
          <w:color w:val="000000"/>
        </w:rPr>
        <w:t xml:space="preserve">for </w:t>
      </w:r>
      <w:r w:rsidRPr="00FB2773">
        <w:rPr>
          <w:rFonts w:ascii="Calibri" w:eastAsia="Times New Roman" w:hAnsi="Calibri"/>
          <w:color w:val="000000"/>
        </w:rPr>
        <w:t>3 months</w:t>
      </w:r>
      <w:r>
        <w:rPr>
          <w:rFonts w:ascii="Calibri" w:eastAsia="Times New Roman" w:hAnsi="Calibri"/>
          <w:color w:val="000000"/>
        </w:rPr>
        <w:t xml:space="preserve"> as per HTM 07-01</w:t>
      </w:r>
    </w:p>
    <w:p w:rsidR="00377EEA" w:rsidRPr="00377EEA" w:rsidRDefault="00377EEA" w:rsidP="00377EEA">
      <w:pPr>
        <w:numPr>
          <w:ilvl w:val="0"/>
          <w:numId w:val="1"/>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Cold chain incidents, ensure that where the temperature is out of range there is clear documentation on what actions were taken, even if no actions were needed as on further investigation the temperature was fine (i.e. data-logger), this would also apply to water temperature testing for legionella</w:t>
      </w:r>
    </w:p>
    <w:p w:rsidR="00185A21" w:rsidRPr="00B2604B" w:rsidRDefault="00185A21" w:rsidP="00185A21">
      <w:pPr>
        <w:spacing w:before="100" w:beforeAutospacing="1" w:after="100" w:afterAutospacing="1" w:line="240" w:lineRule="auto"/>
        <w:rPr>
          <w:rFonts w:ascii="Calibri" w:eastAsia="Times New Roman" w:hAnsi="Calibri"/>
          <w:b/>
        </w:rPr>
      </w:pPr>
      <w:r w:rsidRPr="00B2604B">
        <w:rPr>
          <w:rFonts w:ascii="Calibri" w:eastAsia="Times New Roman" w:hAnsi="Calibri"/>
          <w:b/>
        </w:rPr>
        <w:t>S</w:t>
      </w:r>
      <w:r>
        <w:rPr>
          <w:rFonts w:ascii="Calibri" w:eastAsia="Times New Roman" w:hAnsi="Calibri"/>
          <w:b/>
        </w:rPr>
        <w:t>ecurity, health &amp; safety</w:t>
      </w:r>
    </w:p>
    <w:p w:rsidR="00185A21" w:rsidRPr="00973DA5" w:rsidRDefault="007B14A3" w:rsidP="00185A21">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Prescription safety/security</w:t>
      </w:r>
    </w:p>
    <w:p w:rsidR="00185A21" w:rsidRPr="00973DA5" w:rsidRDefault="00185A21" w:rsidP="00185A21">
      <w:pPr>
        <w:numPr>
          <w:ilvl w:val="1"/>
          <w:numId w:val="1"/>
        </w:numPr>
        <w:spacing w:before="100" w:beforeAutospacing="1" w:after="100" w:afterAutospacing="1" w:line="240" w:lineRule="auto"/>
        <w:rPr>
          <w:rFonts w:ascii="Calibri" w:eastAsia="Times New Roman" w:hAnsi="Calibri"/>
        </w:rPr>
      </w:pPr>
      <w:r w:rsidRPr="00973DA5">
        <w:rPr>
          <w:rFonts w:ascii="Calibri" w:eastAsia="Times New Roman" w:hAnsi="Calibri"/>
        </w:rPr>
        <w:t>lock blank prescriptions away at the end of the day</w:t>
      </w:r>
      <w:r>
        <w:rPr>
          <w:rFonts w:ascii="Calibri" w:eastAsia="Times New Roman" w:hAnsi="Calibri"/>
        </w:rPr>
        <w:t xml:space="preserve"> in a secure cupboard</w:t>
      </w:r>
      <w:r w:rsidR="00981E91">
        <w:rPr>
          <w:rFonts w:ascii="Calibri" w:eastAsia="Times New Roman" w:hAnsi="Calibri"/>
        </w:rPr>
        <w:t xml:space="preserve"> or have them in locked printers</w:t>
      </w:r>
    </w:p>
    <w:p w:rsidR="00185A21" w:rsidRPr="00973DA5" w:rsidRDefault="00185A21" w:rsidP="00185A21">
      <w:pPr>
        <w:numPr>
          <w:ilvl w:val="1"/>
          <w:numId w:val="1"/>
        </w:numPr>
        <w:spacing w:before="100" w:beforeAutospacing="1" w:after="100" w:afterAutospacing="1" w:line="240" w:lineRule="auto"/>
        <w:rPr>
          <w:rFonts w:ascii="Calibri" w:eastAsia="Times New Roman" w:hAnsi="Calibri"/>
        </w:rPr>
      </w:pPr>
      <w:r w:rsidRPr="00973DA5">
        <w:rPr>
          <w:rFonts w:ascii="Calibri" w:eastAsia="Times New Roman" w:hAnsi="Calibri"/>
        </w:rPr>
        <w:t>Doors should be locked when a room is not in use</w:t>
      </w:r>
    </w:p>
    <w:p w:rsidR="00185A21" w:rsidRDefault="00185A21" w:rsidP="00185A21">
      <w:pPr>
        <w:numPr>
          <w:ilvl w:val="1"/>
          <w:numId w:val="1"/>
        </w:numPr>
        <w:spacing w:before="100" w:beforeAutospacing="1" w:after="100" w:afterAutospacing="1" w:line="240" w:lineRule="auto"/>
        <w:rPr>
          <w:rFonts w:ascii="Calibri" w:eastAsia="Times New Roman" w:hAnsi="Calibri"/>
        </w:rPr>
      </w:pPr>
      <w:r w:rsidRPr="00973DA5">
        <w:rPr>
          <w:rFonts w:ascii="Calibri" w:eastAsia="Times New Roman" w:hAnsi="Calibri"/>
        </w:rPr>
        <w:t>Blank prescriptions should be traceable and put back into the same room</w:t>
      </w:r>
    </w:p>
    <w:p w:rsidR="00981E91" w:rsidRPr="00973DA5" w:rsidRDefault="00981E91" w:rsidP="00185A21">
      <w:pPr>
        <w:numPr>
          <w:ilvl w:val="1"/>
          <w:numId w:val="1"/>
        </w:numPr>
        <w:spacing w:before="100" w:beforeAutospacing="1" w:after="100" w:afterAutospacing="1" w:line="240" w:lineRule="auto"/>
        <w:rPr>
          <w:rFonts w:ascii="Calibri" w:eastAsia="Times New Roman" w:hAnsi="Calibri"/>
        </w:rPr>
      </w:pPr>
      <w:r>
        <w:rPr>
          <w:rFonts w:ascii="Calibri" w:eastAsia="Times New Roman" w:hAnsi="Calibri"/>
        </w:rPr>
        <w:t>Boxes of blank prescriptions should be securely stored and a record of the box number</w:t>
      </w:r>
    </w:p>
    <w:p w:rsidR="00185A21" w:rsidRDefault="00F705B6" w:rsidP="00185A21">
      <w:pPr>
        <w:pStyle w:val="ListParagraph"/>
        <w:numPr>
          <w:ilvl w:val="1"/>
          <w:numId w:val="1"/>
        </w:numPr>
      </w:pPr>
      <w:hyperlink r:id="rId22" w:history="1">
        <w:r w:rsidR="00185A21" w:rsidRPr="00973DA5">
          <w:rPr>
            <w:rStyle w:val="Hyperlink"/>
            <w:color w:val="auto"/>
          </w:rPr>
          <w:t>Management and control of prescription forms - March 2018</w:t>
        </w:r>
      </w:hyperlink>
    </w:p>
    <w:p w:rsidR="00185A21" w:rsidRDefault="00185A21" w:rsidP="00185A21">
      <w:pPr>
        <w:pStyle w:val="ListParagraph"/>
        <w:numPr>
          <w:ilvl w:val="0"/>
          <w:numId w:val="1"/>
        </w:numPr>
      </w:pPr>
      <w:r>
        <w:t>Risk assessments for any storage of hazardous substances, i.e. liquid nitrogen and storage of chemicals such as washing up liquid and dishwasher tabs</w:t>
      </w:r>
    </w:p>
    <w:p w:rsidR="00185A21" w:rsidRDefault="00185A21" w:rsidP="00185A21">
      <w:pPr>
        <w:pStyle w:val="ListParagraph"/>
        <w:numPr>
          <w:ilvl w:val="0"/>
          <w:numId w:val="1"/>
        </w:numPr>
      </w:pPr>
      <w:r>
        <w:t>Undertake a fire drill at least yearly</w:t>
      </w:r>
    </w:p>
    <w:p w:rsidR="0010609C" w:rsidRDefault="0010609C" w:rsidP="00185A21">
      <w:pPr>
        <w:pStyle w:val="ListParagraph"/>
        <w:numPr>
          <w:ilvl w:val="0"/>
          <w:numId w:val="1"/>
        </w:numPr>
      </w:pPr>
      <w:r>
        <w:t>Premises/security risk assessments carried out</w:t>
      </w:r>
    </w:p>
    <w:p w:rsidR="00BE42FF" w:rsidRDefault="00BE42FF" w:rsidP="00185A21">
      <w:pPr>
        <w:pStyle w:val="ListParagraph"/>
        <w:numPr>
          <w:ilvl w:val="0"/>
          <w:numId w:val="1"/>
        </w:numPr>
      </w:pPr>
      <w:r>
        <w:t>Alarm pull cords available in toilets</w:t>
      </w:r>
    </w:p>
    <w:p w:rsidR="007B14A3" w:rsidRDefault="007B14A3" w:rsidP="00185A21">
      <w:pPr>
        <w:pStyle w:val="ListParagraph"/>
        <w:numPr>
          <w:ilvl w:val="0"/>
          <w:numId w:val="1"/>
        </w:numPr>
      </w:pPr>
      <w:r>
        <w:t>Action plans following any risk assessments are monitored and completed/in progress</w:t>
      </w:r>
    </w:p>
    <w:p w:rsidR="00185A21" w:rsidRDefault="00185A21" w:rsidP="00185A21">
      <w:pPr>
        <w:rPr>
          <w:b/>
        </w:rPr>
      </w:pPr>
      <w:r w:rsidRPr="00185A21">
        <w:rPr>
          <w:b/>
        </w:rPr>
        <w:t>Medicine Management</w:t>
      </w:r>
    </w:p>
    <w:p w:rsidR="00185A21" w:rsidRDefault="00185A21" w:rsidP="00185A21">
      <w:pPr>
        <w:pStyle w:val="ListParagraph"/>
        <w:numPr>
          <w:ilvl w:val="0"/>
          <w:numId w:val="6"/>
        </w:numPr>
      </w:pPr>
      <w:r w:rsidRPr="00185A21">
        <w:t>Undertake a risk assessment to determine the range of medicines held within the practice and a system in place to monitor stock and expiry dates</w:t>
      </w:r>
    </w:p>
    <w:p w:rsidR="007B14A3" w:rsidRDefault="007B14A3" w:rsidP="00185A21">
      <w:pPr>
        <w:pStyle w:val="ListParagraph"/>
        <w:numPr>
          <w:ilvl w:val="0"/>
          <w:numId w:val="6"/>
        </w:numPr>
      </w:pPr>
      <w:r>
        <w:t>Where controlled drugs are stored on the premises the practice has a robust system for monitoring stock levels</w:t>
      </w:r>
    </w:p>
    <w:p w:rsidR="00185A21" w:rsidRPr="00BE42FF" w:rsidRDefault="00EB5D55" w:rsidP="00BE42FF">
      <w:pPr>
        <w:pStyle w:val="ListParagraph"/>
        <w:numPr>
          <w:ilvl w:val="0"/>
          <w:numId w:val="6"/>
        </w:numPr>
      </w:pPr>
      <w:r>
        <w:t>Have a repeat prescribing policy to support staff to follow the correct procedure</w:t>
      </w:r>
    </w:p>
    <w:p w:rsidR="00B2604B" w:rsidRPr="007B14A3" w:rsidRDefault="00B2604B" w:rsidP="00B2604B">
      <w:pPr>
        <w:spacing w:before="100" w:beforeAutospacing="1" w:after="100" w:afterAutospacing="1" w:line="240" w:lineRule="auto"/>
        <w:rPr>
          <w:rFonts w:ascii="Calibri" w:eastAsia="Times New Roman" w:hAnsi="Calibri"/>
          <w:b/>
        </w:rPr>
      </w:pPr>
      <w:r w:rsidRPr="007B14A3">
        <w:rPr>
          <w:rFonts w:ascii="Calibri" w:eastAsia="Times New Roman" w:hAnsi="Calibri"/>
          <w:b/>
        </w:rPr>
        <w:t>Surveys</w:t>
      </w:r>
      <w:r w:rsidR="00BE42FF" w:rsidRPr="007B14A3">
        <w:rPr>
          <w:rFonts w:ascii="Calibri" w:eastAsia="Times New Roman" w:hAnsi="Calibri"/>
          <w:b/>
        </w:rPr>
        <w:t xml:space="preserve"> and audits</w:t>
      </w:r>
    </w:p>
    <w:p w:rsidR="00B2604B" w:rsidRPr="007B14A3" w:rsidRDefault="00B2604B" w:rsidP="00B2604B">
      <w:pPr>
        <w:numPr>
          <w:ilvl w:val="0"/>
          <w:numId w:val="1"/>
        </w:numPr>
        <w:spacing w:before="100" w:beforeAutospacing="1" w:after="100" w:afterAutospacing="1" w:line="240" w:lineRule="auto"/>
        <w:rPr>
          <w:rFonts w:ascii="Calibri" w:eastAsia="Times New Roman" w:hAnsi="Calibri"/>
        </w:rPr>
      </w:pPr>
      <w:r w:rsidRPr="007B14A3">
        <w:rPr>
          <w:rFonts w:ascii="Calibri" w:eastAsia="Times New Roman" w:hAnsi="Calibri"/>
        </w:rPr>
        <w:t>Focusing on outcomes for patients, include evidence of outcomes before/after a change in practice to evidence improvement</w:t>
      </w:r>
    </w:p>
    <w:p w:rsidR="00BE42FF" w:rsidRPr="007B14A3" w:rsidRDefault="00BE42FF" w:rsidP="00BE42FF">
      <w:pPr>
        <w:numPr>
          <w:ilvl w:val="0"/>
          <w:numId w:val="1"/>
        </w:numPr>
        <w:spacing w:before="100" w:beforeAutospacing="1" w:after="100" w:afterAutospacing="1" w:line="240" w:lineRule="auto"/>
        <w:rPr>
          <w:rFonts w:ascii="Calibri" w:eastAsia="Times New Roman" w:hAnsi="Calibri"/>
        </w:rPr>
      </w:pPr>
      <w:r w:rsidRPr="007B14A3">
        <w:rPr>
          <w:rFonts w:ascii="Calibri" w:eastAsia="Times New Roman" w:hAnsi="Calibri"/>
        </w:rPr>
        <w:t>Ensure you have an action plan to address areas for improvement</w:t>
      </w:r>
      <w:r w:rsidR="007B14A3" w:rsidRPr="007B14A3">
        <w:rPr>
          <w:rFonts w:ascii="Calibri" w:eastAsia="Times New Roman" w:hAnsi="Calibri"/>
        </w:rPr>
        <w:t xml:space="preserve"> and there is evidence of implementation </w:t>
      </w:r>
    </w:p>
    <w:p w:rsidR="00D95EF4" w:rsidRPr="007B14A3" w:rsidRDefault="00006440" w:rsidP="00E20045">
      <w:pPr>
        <w:numPr>
          <w:ilvl w:val="0"/>
          <w:numId w:val="1"/>
        </w:numPr>
        <w:spacing w:before="100" w:beforeAutospacing="1" w:after="100" w:afterAutospacing="1" w:line="240" w:lineRule="auto"/>
        <w:rPr>
          <w:rFonts w:ascii="Calibri" w:eastAsia="Times New Roman" w:hAnsi="Calibri"/>
        </w:rPr>
      </w:pPr>
      <w:r w:rsidRPr="007B14A3">
        <w:rPr>
          <w:rFonts w:ascii="Calibri" w:eastAsia="Times New Roman" w:hAnsi="Calibri"/>
        </w:rPr>
        <w:t xml:space="preserve">CQC </w:t>
      </w:r>
      <w:r w:rsidR="00E20045" w:rsidRPr="007B14A3">
        <w:rPr>
          <w:rFonts w:ascii="Calibri" w:eastAsia="Times New Roman" w:hAnsi="Calibri"/>
        </w:rPr>
        <w:t>love</w:t>
      </w:r>
      <w:r w:rsidR="00BE42FF" w:rsidRPr="007B14A3">
        <w:rPr>
          <w:rFonts w:ascii="Calibri" w:eastAsia="Times New Roman" w:hAnsi="Calibri"/>
        </w:rPr>
        <w:t xml:space="preserve"> yearly</w:t>
      </w:r>
      <w:r w:rsidR="00D95EF4" w:rsidRPr="007B14A3">
        <w:rPr>
          <w:rFonts w:ascii="Calibri" w:eastAsia="Times New Roman" w:hAnsi="Calibri"/>
        </w:rPr>
        <w:t>:</w:t>
      </w:r>
    </w:p>
    <w:p w:rsidR="00D95EF4" w:rsidRPr="007B14A3" w:rsidRDefault="00E20045" w:rsidP="00D95EF4">
      <w:pPr>
        <w:numPr>
          <w:ilvl w:val="1"/>
          <w:numId w:val="1"/>
        </w:numPr>
        <w:spacing w:before="100" w:beforeAutospacing="1" w:after="100" w:afterAutospacing="1" w:line="240" w:lineRule="auto"/>
        <w:rPr>
          <w:rFonts w:ascii="Calibri" w:eastAsia="Times New Roman" w:hAnsi="Calibri"/>
        </w:rPr>
      </w:pPr>
      <w:r w:rsidRPr="007B14A3">
        <w:rPr>
          <w:rFonts w:ascii="Calibri" w:eastAsia="Times New Roman" w:hAnsi="Calibri"/>
        </w:rPr>
        <w:t>PPG</w:t>
      </w:r>
      <w:r w:rsidR="00D95EF4" w:rsidRPr="007B14A3">
        <w:rPr>
          <w:rFonts w:ascii="Calibri" w:eastAsia="Times New Roman" w:hAnsi="Calibri"/>
        </w:rPr>
        <w:t>’s</w:t>
      </w:r>
      <w:r w:rsidRPr="007B14A3">
        <w:rPr>
          <w:rFonts w:ascii="Calibri" w:eastAsia="Times New Roman" w:hAnsi="Calibri"/>
        </w:rPr>
        <w:t xml:space="preserve"> </w:t>
      </w:r>
    </w:p>
    <w:p w:rsidR="00D95EF4" w:rsidRPr="007B14A3" w:rsidRDefault="00D95EF4" w:rsidP="00D95EF4">
      <w:pPr>
        <w:numPr>
          <w:ilvl w:val="1"/>
          <w:numId w:val="1"/>
        </w:numPr>
        <w:spacing w:before="100" w:beforeAutospacing="1" w:after="100" w:afterAutospacing="1" w:line="240" w:lineRule="auto"/>
        <w:rPr>
          <w:rFonts w:ascii="Calibri" w:eastAsia="Times New Roman" w:hAnsi="Calibri"/>
        </w:rPr>
      </w:pPr>
      <w:r w:rsidRPr="007B14A3">
        <w:rPr>
          <w:rFonts w:ascii="Calibri" w:eastAsia="Times New Roman" w:hAnsi="Calibri"/>
        </w:rPr>
        <w:t>Patient surveys</w:t>
      </w:r>
    </w:p>
    <w:p w:rsidR="00E20045" w:rsidRPr="007B14A3" w:rsidRDefault="00D95EF4" w:rsidP="00D95EF4">
      <w:pPr>
        <w:numPr>
          <w:ilvl w:val="1"/>
          <w:numId w:val="1"/>
        </w:numPr>
        <w:spacing w:before="100" w:beforeAutospacing="1" w:after="100" w:afterAutospacing="1" w:line="240" w:lineRule="auto"/>
        <w:rPr>
          <w:rFonts w:ascii="Calibri" w:eastAsia="Times New Roman" w:hAnsi="Calibri"/>
        </w:rPr>
      </w:pPr>
      <w:r w:rsidRPr="007B14A3">
        <w:rPr>
          <w:rFonts w:ascii="Calibri" w:eastAsia="Times New Roman" w:hAnsi="Calibri"/>
        </w:rPr>
        <w:t>S</w:t>
      </w:r>
      <w:r w:rsidR="00E20045" w:rsidRPr="007B14A3">
        <w:rPr>
          <w:rFonts w:ascii="Calibri" w:eastAsia="Times New Roman" w:hAnsi="Calibri"/>
        </w:rPr>
        <w:t>taff surveys</w:t>
      </w:r>
    </w:p>
    <w:p w:rsidR="00973DA5" w:rsidRPr="007B14A3" w:rsidRDefault="00973DA5" w:rsidP="00BE42FF">
      <w:pPr>
        <w:numPr>
          <w:ilvl w:val="2"/>
          <w:numId w:val="1"/>
        </w:numPr>
        <w:spacing w:line="240" w:lineRule="auto"/>
        <w:rPr>
          <w:rStyle w:val="Hyperlink"/>
          <w:rFonts w:ascii="Calibri" w:eastAsia="Times New Roman" w:hAnsi="Calibri"/>
          <w:color w:val="auto"/>
        </w:rPr>
      </w:pPr>
      <w:r w:rsidRPr="007B14A3">
        <w:fldChar w:fldCharType="begin"/>
      </w:r>
      <w:r w:rsidRPr="007B14A3">
        <w:instrText>HYPERLINK "https://www.wessexlmcs.com/patientfeedbacksurveys"</w:instrText>
      </w:r>
      <w:r w:rsidRPr="007B14A3">
        <w:fldChar w:fldCharType="separate"/>
      </w:r>
      <w:r w:rsidRPr="007B14A3">
        <w:rPr>
          <w:rStyle w:val="Hyperlink"/>
          <w:color w:val="auto"/>
        </w:rPr>
        <w:t>Patient feedback and Survey – LMC guidance</w:t>
      </w:r>
      <w:r w:rsidR="00BE42FF" w:rsidRPr="007B14A3">
        <w:rPr>
          <w:rStyle w:val="Hyperlink"/>
          <w:color w:val="auto"/>
        </w:rPr>
        <w:t xml:space="preserve">  </w:t>
      </w:r>
    </w:p>
    <w:p w:rsidR="00D95EF4" w:rsidRPr="00BE42FF" w:rsidRDefault="00973DA5" w:rsidP="00D95EF4">
      <w:r w:rsidRPr="007B14A3">
        <w:fldChar w:fldCharType="end"/>
      </w:r>
      <w:r w:rsidR="00D95EF4" w:rsidRPr="00D95EF4">
        <w:rPr>
          <w:b/>
        </w:rPr>
        <w:t xml:space="preserve">Useful </w:t>
      </w:r>
      <w:r w:rsidR="00D95EF4">
        <w:rPr>
          <w:b/>
        </w:rPr>
        <w:t xml:space="preserve">resources and </w:t>
      </w:r>
      <w:r w:rsidR="00D95EF4" w:rsidRPr="00D95EF4">
        <w:rPr>
          <w:b/>
        </w:rPr>
        <w:t>links</w:t>
      </w:r>
    </w:p>
    <w:p w:rsidR="00D95EF4" w:rsidRPr="00006440" w:rsidRDefault="00D95EF4" w:rsidP="00D95EF4">
      <w:pPr>
        <w:pStyle w:val="ListParagraph"/>
        <w:numPr>
          <w:ilvl w:val="0"/>
          <w:numId w:val="1"/>
        </w:numPr>
        <w:rPr>
          <w:rStyle w:val="Hyperlink"/>
          <w:color w:val="auto"/>
        </w:rPr>
      </w:pPr>
      <w:r w:rsidRPr="00006440">
        <w:fldChar w:fldCharType="begin"/>
      </w:r>
      <w:r w:rsidRPr="00006440">
        <w:instrText xml:space="preserve"> HYPERLINK "https://www.cqc.org.uk/guidance-providers/gps/nigels-surgery-tips-mythbusters-gp-practices" </w:instrText>
      </w:r>
      <w:r w:rsidRPr="00006440">
        <w:fldChar w:fldCharType="separate"/>
      </w:r>
      <w:r w:rsidRPr="00006440">
        <w:rPr>
          <w:rStyle w:val="Hyperlink"/>
          <w:color w:val="auto"/>
        </w:rPr>
        <w:t>Nigel’s surgery: Tips and myth busters for GP practices</w:t>
      </w:r>
    </w:p>
    <w:p w:rsidR="00D95EF4" w:rsidRPr="00006440" w:rsidRDefault="00D95EF4" w:rsidP="00D95EF4">
      <w:pPr>
        <w:pStyle w:val="ListParagraph"/>
        <w:numPr>
          <w:ilvl w:val="0"/>
          <w:numId w:val="1"/>
        </w:numPr>
      </w:pPr>
      <w:r w:rsidRPr="00006440">
        <w:fldChar w:fldCharType="end"/>
      </w:r>
      <w:hyperlink r:id="rId23" w:history="1">
        <w:r w:rsidRPr="00006440">
          <w:rPr>
            <w:rStyle w:val="Hyperlink"/>
            <w:color w:val="auto"/>
          </w:rPr>
          <w:t>How CQC monitors, inspects and regulates NHS GP practice</w:t>
        </w:r>
      </w:hyperlink>
    </w:p>
    <w:p w:rsidR="00D95EF4" w:rsidRPr="00006440" w:rsidRDefault="00F705B6" w:rsidP="00D95EF4">
      <w:pPr>
        <w:pStyle w:val="ListParagraph"/>
        <w:numPr>
          <w:ilvl w:val="0"/>
          <w:numId w:val="1"/>
        </w:numPr>
      </w:pPr>
      <w:hyperlink r:id="rId24" w:history="1">
        <w:r w:rsidR="00D95EF4" w:rsidRPr="00006440">
          <w:rPr>
            <w:rStyle w:val="Hyperlink"/>
            <w:color w:val="auto"/>
          </w:rPr>
          <w:t>CQC examples of outstanding GP practices</w:t>
        </w:r>
      </w:hyperlink>
    </w:p>
    <w:p w:rsidR="00D95EF4" w:rsidRPr="00006440" w:rsidRDefault="00F705B6" w:rsidP="00D95EF4">
      <w:pPr>
        <w:pStyle w:val="ListParagraph"/>
        <w:numPr>
          <w:ilvl w:val="0"/>
          <w:numId w:val="1"/>
        </w:numPr>
      </w:pPr>
      <w:hyperlink r:id="rId25" w:anchor="safe" w:history="1">
        <w:r w:rsidR="00D95EF4" w:rsidRPr="00006440">
          <w:rPr>
            <w:rStyle w:val="Hyperlink"/>
            <w:color w:val="auto"/>
          </w:rPr>
          <w:t>CQC examples of inadequate practices</w:t>
        </w:r>
      </w:hyperlink>
    </w:p>
    <w:p w:rsidR="00D95EF4" w:rsidRPr="00006440" w:rsidRDefault="00F705B6" w:rsidP="00D95EF4">
      <w:pPr>
        <w:pStyle w:val="ListParagraph"/>
        <w:numPr>
          <w:ilvl w:val="0"/>
          <w:numId w:val="1"/>
        </w:numPr>
      </w:pPr>
      <w:hyperlink r:id="rId26" w:history="1">
        <w:r w:rsidR="00D95EF4" w:rsidRPr="00006440">
          <w:rPr>
            <w:rStyle w:val="Hyperlink"/>
            <w:color w:val="auto"/>
          </w:rPr>
          <w:t>AHSN Wessex Safer Practice Framework and self-assessment tool</w:t>
        </w:r>
      </w:hyperlink>
    </w:p>
    <w:p w:rsidR="00D95EF4" w:rsidRPr="00006440" w:rsidRDefault="00F705B6" w:rsidP="00D95EF4">
      <w:pPr>
        <w:pStyle w:val="ListParagraph"/>
        <w:numPr>
          <w:ilvl w:val="0"/>
          <w:numId w:val="1"/>
        </w:numPr>
      </w:pPr>
      <w:hyperlink r:id="rId27" w:history="1">
        <w:r w:rsidR="00D95EF4" w:rsidRPr="00006440">
          <w:rPr>
            <w:rStyle w:val="Hyperlink"/>
            <w:color w:val="auto"/>
          </w:rPr>
          <w:t>The Kings Fund – assessing leadership and culture in Primary Care</w:t>
        </w:r>
      </w:hyperlink>
    </w:p>
    <w:p w:rsidR="00817EEF" w:rsidRPr="00006440" w:rsidRDefault="00F705B6" w:rsidP="00B404CF">
      <w:pPr>
        <w:pStyle w:val="ListParagraph"/>
        <w:numPr>
          <w:ilvl w:val="0"/>
          <w:numId w:val="1"/>
        </w:numPr>
        <w:rPr>
          <w:rStyle w:val="Hyperlink"/>
          <w:color w:val="auto"/>
          <w:u w:val="none"/>
        </w:rPr>
      </w:pPr>
      <w:hyperlink r:id="rId28" w:history="1">
        <w:r w:rsidR="00D95EF4" w:rsidRPr="00006440">
          <w:rPr>
            <w:rStyle w:val="Hyperlink"/>
            <w:color w:val="auto"/>
          </w:rPr>
          <w:t>Wessex LMC CQC guidance page</w:t>
        </w:r>
      </w:hyperlink>
    </w:p>
    <w:sectPr w:rsidR="00817EEF" w:rsidRPr="00006440">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B6" w:rsidRDefault="00F705B6" w:rsidP="00EC540A">
      <w:pPr>
        <w:spacing w:after="0" w:line="240" w:lineRule="auto"/>
      </w:pPr>
      <w:r>
        <w:separator/>
      </w:r>
    </w:p>
  </w:endnote>
  <w:endnote w:type="continuationSeparator" w:id="0">
    <w:p w:rsidR="00F705B6" w:rsidRDefault="00F705B6" w:rsidP="00EC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0A" w:rsidRDefault="00EC540A">
    <w:pPr>
      <w:pStyle w:val="Footer"/>
    </w:pPr>
    <w:r>
      <w:t xml:space="preserve">CQC </w:t>
    </w:r>
    <w:r w:rsidR="00FC11BC">
      <w:t>intelligence and useful links V</w:t>
    </w:r>
    <w:r w:rsidR="00A05C6E">
      <w:t>4</w:t>
    </w:r>
    <w:r>
      <w:t xml:space="preserve">.0 </w:t>
    </w:r>
    <w:r w:rsidR="00A05C6E">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B6" w:rsidRDefault="00F705B6" w:rsidP="00EC540A">
      <w:pPr>
        <w:spacing w:after="0" w:line="240" w:lineRule="auto"/>
      </w:pPr>
      <w:r>
        <w:separator/>
      </w:r>
    </w:p>
  </w:footnote>
  <w:footnote w:type="continuationSeparator" w:id="0">
    <w:p w:rsidR="00F705B6" w:rsidRDefault="00F705B6" w:rsidP="00EC5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21D"/>
    <w:multiLevelType w:val="hybridMultilevel"/>
    <w:tmpl w:val="CD7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13D2D"/>
    <w:multiLevelType w:val="multilevel"/>
    <w:tmpl w:val="3AD2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5B64D5"/>
    <w:multiLevelType w:val="hybridMultilevel"/>
    <w:tmpl w:val="F9D4E14E"/>
    <w:lvl w:ilvl="0" w:tplc="2826ABEA">
      <w:start w:val="1"/>
      <w:numFmt w:val="bullet"/>
      <w:lvlText w:val="•"/>
      <w:lvlJc w:val="left"/>
      <w:pPr>
        <w:tabs>
          <w:tab w:val="num" w:pos="720"/>
        </w:tabs>
        <w:ind w:left="720" w:hanging="360"/>
      </w:pPr>
      <w:rPr>
        <w:rFonts w:ascii="Arial" w:hAnsi="Arial" w:hint="default"/>
      </w:rPr>
    </w:lvl>
    <w:lvl w:ilvl="1" w:tplc="C85CF6BC" w:tentative="1">
      <w:start w:val="1"/>
      <w:numFmt w:val="bullet"/>
      <w:lvlText w:val="•"/>
      <w:lvlJc w:val="left"/>
      <w:pPr>
        <w:tabs>
          <w:tab w:val="num" w:pos="1440"/>
        </w:tabs>
        <w:ind w:left="1440" w:hanging="360"/>
      </w:pPr>
      <w:rPr>
        <w:rFonts w:ascii="Arial" w:hAnsi="Arial" w:hint="default"/>
      </w:rPr>
    </w:lvl>
    <w:lvl w:ilvl="2" w:tplc="271CA186" w:tentative="1">
      <w:start w:val="1"/>
      <w:numFmt w:val="bullet"/>
      <w:lvlText w:val="•"/>
      <w:lvlJc w:val="left"/>
      <w:pPr>
        <w:tabs>
          <w:tab w:val="num" w:pos="2160"/>
        </w:tabs>
        <w:ind w:left="2160" w:hanging="360"/>
      </w:pPr>
      <w:rPr>
        <w:rFonts w:ascii="Arial" w:hAnsi="Arial" w:hint="default"/>
      </w:rPr>
    </w:lvl>
    <w:lvl w:ilvl="3" w:tplc="1506C988" w:tentative="1">
      <w:start w:val="1"/>
      <w:numFmt w:val="bullet"/>
      <w:lvlText w:val="•"/>
      <w:lvlJc w:val="left"/>
      <w:pPr>
        <w:tabs>
          <w:tab w:val="num" w:pos="2880"/>
        </w:tabs>
        <w:ind w:left="2880" w:hanging="360"/>
      </w:pPr>
      <w:rPr>
        <w:rFonts w:ascii="Arial" w:hAnsi="Arial" w:hint="default"/>
      </w:rPr>
    </w:lvl>
    <w:lvl w:ilvl="4" w:tplc="13260ED6" w:tentative="1">
      <w:start w:val="1"/>
      <w:numFmt w:val="bullet"/>
      <w:lvlText w:val="•"/>
      <w:lvlJc w:val="left"/>
      <w:pPr>
        <w:tabs>
          <w:tab w:val="num" w:pos="3600"/>
        </w:tabs>
        <w:ind w:left="3600" w:hanging="360"/>
      </w:pPr>
      <w:rPr>
        <w:rFonts w:ascii="Arial" w:hAnsi="Arial" w:hint="default"/>
      </w:rPr>
    </w:lvl>
    <w:lvl w:ilvl="5" w:tplc="645A386A" w:tentative="1">
      <w:start w:val="1"/>
      <w:numFmt w:val="bullet"/>
      <w:lvlText w:val="•"/>
      <w:lvlJc w:val="left"/>
      <w:pPr>
        <w:tabs>
          <w:tab w:val="num" w:pos="4320"/>
        </w:tabs>
        <w:ind w:left="4320" w:hanging="360"/>
      </w:pPr>
      <w:rPr>
        <w:rFonts w:ascii="Arial" w:hAnsi="Arial" w:hint="default"/>
      </w:rPr>
    </w:lvl>
    <w:lvl w:ilvl="6" w:tplc="8CCE3876" w:tentative="1">
      <w:start w:val="1"/>
      <w:numFmt w:val="bullet"/>
      <w:lvlText w:val="•"/>
      <w:lvlJc w:val="left"/>
      <w:pPr>
        <w:tabs>
          <w:tab w:val="num" w:pos="5040"/>
        </w:tabs>
        <w:ind w:left="5040" w:hanging="360"/>
      </w:pPr>
      <w:rPr>
        <w:rFonts w:ascii="Arial" w:hAnsi="Arial" w:hint="default"/>
      </w:rPr>
    </w:lvl>
    <w:lvl w:ilvl="7" w:tplc="510CC986" w:tentative="1">
      <w:start w:val="1"/>
      <w:numFmt w:val="bullet"/>
      <w:lvlText w:val="•"/>
      <w:lvlJc w:val="left"/>
      <w:pPr>
        <w:tabs>
          <w:tab w:val="num" w:pos="5760"/>
        </w:tabs>
        <w:ind w:left="5760" w:hanging="360"/>
      </w:pPr>
      <w:rPr>
        <w:rFonts w:ascii="Arial" w:hAnsi="Arial" w:hint="default"/>
      </w:rPr>
    </w:lvl>
    <w:lvl w:ilvl="8" w:tplc="951E24F2" w:tentative="1">
      <w:start w:val="1"/>
      <w:numFmt w:val="bullet"/>
      <w:lvlText w:val="•"/>
      <w:lvlJc w:val="left"/>
      <w:pPr>
        <w:tabs>
          <w:tab w:val="num" w:pos="6480"/>
        </w:tabs>
        <w:ind w:left="6480" w:hanging="360"/>
      </w:pPr>
      <w:rPr>
        <w:rFonts w:ascii="Arial" w:hAnsi="Arial" w:hint="default"/>
      </w:rPr>
    </w:lvl>
  </w:abstractNum>
  <w:abstractNum w:abstractNumId="3">
    <w:nsid w:val="41E359EF"/>
    <w:multiLevelType w:val="hybridMultilevel"/>
    <w:tmpl w:val="E1EE222A"/>
    <w:lvl w:ilvl="0" w:tplc="F092AC34">
      <w:start w:val="1"/>
      <w:numFmt w:val="bullet"/>
      <w:lvlText w:val="•"/>
      <w:lvlJc w:val="left"/>
      <w:pPr>
        <w:tabs>
          <w:tab w:val="num" w:pos="720"/>
        </w:tabs>
        <w:ind w:left="720" w:hanging="360"/>
      </w:pPr>
      <w:rPr>
        <w:rFonts w:ascii="Arial" w:hAnsi="Arial" w:hint="default"/>
      </w:rPr>
    </w:lvl>
    <w:lvl w:ilvl="1" w:tplc="DDCED78A">
      <w:numFmt w:val="bullet"/>
      <w:lvlText w:val="–"/>
      <w:lvlJc w:val="left"/>
      <w:pPr>
        <w:tabs>
          <w:tab w:val="num" w:pos="1440"/>
        </w:tabs>
        <w:ind w:left="1440" w:hanging="360"/>
      </w:pPr>
      <w:rPr>
        <w:rFonts w:ascii="Arial" w:hAnsi="Arial" w:hint="default"/>
      </w:rPr>
    </w:lvl>
    <w:lvl w:ilvl="2" w:tplc="3FEE1D02" w:tentative="1">
      <w:start w:val="1"/>
      <w:numFmt w:val="bullet"/>
      <w:lvlText w:val="•"/>
      <w:lvlJc w:val="left"/>
      <w:pPr>
        <w:tabs>
          <w:tab w:val="num" w:pos="2160"/>
        </w:tabs>
        <w:ind w:left="2160" w:hanging="360"/>
      </w:pPr>
      <w:rPr>
        <w:rFonts w:ascii="Arial" w:hAnsi="Arial" w:hint="default"/>
      </w:rPr>
    </w:lvl>
    <w:lvl w:ilvl="3" w:tplc="3C726BCE" w:tentative="1">
      <w:start w:val="1"/>
      <w:numFmt w:val="bullet"/>
      <w:lvlText w:val="•"/>
      <w:lvlJc w:val="left"/>
      <w:pPr>
        <w:tabs>
          <w:tab w:val="num" w:pos="2880"/>
        </w:tabs>
        <w:ind w:left="2880" w:hanging="360"/>
      </w:pPr>
      <w:rPr>
        <w:rFonts w:ascii="Arial" w:hAnsi="Arial" w:hint="default"/>
      </w:rPr>
    </w:lvl>
    <w:lvl w:ilvl="4" w:tplc="3E92BD64" w:tentative="1">
      <w:start w:val="1"/>
      <w:numFmt w:val="bullet"/>
      <w:lvlText w:val="•"/>
      <w:lvlJc w:val="left"/>
      <w:pPr>
        <w:tabs>
          <w:tab w:val="num" w:pos="3600"/>
        </w:tabs>
        <w:ind w:left="3600" w:hanging="360"/>
      </w:pPr>
      <w:rPr>
        <w:rFonts w:ascii="Arial" w:hAnsi="Arial" w:hint="default"/>
      </w:rPr>
    </w:lvl>
    <w:lvl w:ilvl="5" w:tplc="4164EEEA" w:tentative="1">
      <w:start w:val="1"/>
      <w:numFmt w:val="bullet"/>
      <w:lvlText w:val="•"/>
      <w:lvlJc w:val="left"/>
      <w:pPr>
        <w:tabs>
          <w:tab w:val="num" w:pos="4320"/>
        </w:tabs>
        <w:ind w:left="4320" w:hanging="360"/>
      </w:pPr>
      <w:rPr>
        <w:rFonts w:ascii="Arial" w:hAnsi="Arial" w:hint="default"/>
      </w:rPr>
    </w:lvl>
    <w:lvl w:ilvl="6" w:tplc="35242158" w:tentative="1">
      <w:start w:val="1"/>
      <w:numFmt w:val="bullet"/>
      <w:lvlText w:val="•"/>
      <w:lvlJc w:val="left"/>
      <w:pPr>
        <w:tabs>
          <w:tab w:val="num" w:pos="5040"/>
        </w:tabs>
        <w:ind w:left="5040" w:hanging="360"/>
      </w:pPr>
      <w:rPr>
        <w:rFonts w:ascii="Arial" w:hAnsi="Arial" w:hint="default"/>
      </w:rPr>
    </w:lvl>
    <w:lvl w:ilvl="7" w:tplc="757A22E2" w:tentative="1">
      <w:start w:val="1"/>
      <w:numFmt w:val="bullet"/>
      <w:lvlText w:val="•"/>
      <w:lvlJc w:val="left"/>
      <w:pPr>
        <w:tabs>
          <w:tab w:val="num" w:pos="5760"/>
        </w:tabs>
        <w:ind w:left="5760" w:hanging="360"/>
      </w:pPr>
      <w:rPr>
        <w:rFonts w:ascii="Arial" w:hAnsi="Arial" w:hint="default"/>
      </w:rPr>
    </w:lvl>
    <w:lvl w:ilvl="8" w:tplc="94306270" w:tentative="1">
      <w:start w:val="1"/>
      <w:numFmt w:val="bullet"/>
      <w:lvlText w:val="•"/>
      <w:lvlJc w:val="left"/>
      <w:pPr>
        <w:tabs>
          <w:tab w:val="num" w:pos="6480"/>
        </w:tabs>
        <w:ind w:left="6480" w:hanging="360"/>
      </w:pPr>
      <w:rPr>
        <w:rFonts w:ascii="Arial" w:hAnsi="Arial" w:hint="default"/>
      </w:rPr>
    </w:lvl>
  </w:abstractNum>
  <w:abstractNum w:abstractNumId="4">
    <w:nsid w:val="425B6E3E"/>
    <w:multiLevelType w:val="hybridMultilevel"/>
    <w:tmpl w:val="28047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05BA5"/>
    <w:multiLevelType w:val="multilevel"/>
    <w:tmpl w:val="3AD2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551A43"/>
    <w:multiLevelType w:val="hybridMultilevel"/>
    <w:tmpl w:val="82AED20A"/>
    <w:lvl w:ilvl="0" w:tplc="08090001">
      <w:start w:val="1"/>
      <w:numFmt w:val="bullet"/>
      <w:lvlText w:val=""/>
      <w:lvlJc w:val="left"/>
      <w:pPr>
        <w:ind w:left="720" w:hanging="360"/>
      </w:pPr>
      <w:rPr>
        <w:rFonts w:ascii="Symbol" w:hAnsi="Symbol" w:hint="default"/>
      </w:rPr>
    </w:lvl>
    <w:lvl w:ilvl="1" w:tplc="DDCED78A">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30E0F"/>
    <w:multiLevelType w:val="multilevel"/>
    <w:tmpl w:val="249E05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5AA0519"/>
    <w:multiLevelType w:val="hybridMultilevel"/>
    <w:tmpl w:val="8F122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7F33AE"/>
    <w:multiLevelType w:val="multilevel"/>
    <w:tmpl w:val="3AD2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5"/>
  </w:num>
  <w:num w:numId="5">
    <w:abstractNumId w:val="9"/>
  </w:num>
  <w:num w:numId="6">
    <w:abstractNumId w:val="1"/>
  </w:num>
  <w:num w:numId="7">
    <w:abstractNumId w:val="3"/>
  </w:num>
  <w:num w:numId="8">
    <w:abstractNumId w:val="2"/>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45"/>
    <w:rsid w:val="00006440"/>
    <w:rsid w:val="0010609C"/>
    <w:rsid w:val="001221EB"/>
    <w:rsid w:val="00185A21"/>
    <w:rsid w:val="00267661"/>
    <w:rsid w:val="00377EEA"/>
    <w:rsid w:val="003A6221"/>
    <w:rsid w:val="00465EB4"/>
    <w:rsid w:val="006B731F"/>
    <w:rsid w:val="00701016"/>
    <w:rsid w:val="00727EFD"/>
    <w:rsid w:val="007B14A3"/>
    <w:rsid w:val="007D13A0"/>
    <w:rsid w:val="00801B81"/>
    <w:rsid w:val="00933384"/>
    <w:rsid w:val="00973DA5"/>
    <w:rsid w:val="00981E91"/>
    <w:rsid w:val="009C7ABE"/>
    <w:rsid w:val="00A05C6E"/>
    <w:rsid w:val="00B01F21"/>
    <w:rsid w:val="00B2604B"/>
    <w:rsid w:val="00B404CF"/>
    <w:rsid w:val="00BE42FF"/>
    <w:rsid w:val="00D5669C"/>
    <w:rsid w:val="00D95EF4"/>
    <w:rsid w:val="00DA7050"/>
    <w:rsid w:val="00DD51D2"/>
    <w:rsid w:val="00E20045"/>
    <w:rsid w:val="00EB5D55"/>
    <w:rsid w:val="00EC540A"/>
    <w:rsid w:val="00F705B6"/>
    <w:rsid w:val="00F7469F"/>
    <w:rsid w:val="00FC11BC"/>
    <w:rsid w:val="00FF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b/>
        <w:color w:val="1F497D" w:themeColor="text2"/>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45"/>
    <w:rPr>
      <w:rFonts w:asciiTheme="minorHAnsi" w:hAnsiTheme="minorHAnsi"/>
      <w:b w:val="0"/>
      <w:color w:val="auto"/>
      <w:sz w:val="22"/>
      <w:szCs w:val="22"/>
    </w:rPr>
  </w:style>
  <w:style w:type="paragraph" w:styleId="Heading1">
    <w:name w:val="heading 1"/>
    <w:basedOn w:val="Normal"/>
    <w:link w:val="Heading1Char"/>
    <w:uiPriority w:val="9"/>
    <w:qFormat/>
    <w:rsid w:val="00DA7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45"/>
    <w:pPr>
      <w:ind w:left="720"/>
      <w:contextualSpacing/>
    </w:pPr>
  </w:style>
  <w:style w:type="character" w:styleId="Hyperlink">
    <w:name w:val="Hyperlink"/>
    <w:basedOn w:val="DefaultParagraphFont"/>
    <w:uiPriority w:val="99"/>
    <w:unhideWhenUsed/>
    <w:rsid w:val="00D95EF4"/>
    <w:rPr>
      <w:color w:val="0000FF" w:themeColor="hyperlink"/>
      <w:u w:val="single"/>
    </w:rPr>
  </w:style>
  <w:style w:type="character" w:styleId="FollowedHyperlink">
    <w:name w:val="FollowedHyperlink"/>
    <w:basedOn w:val="DefaultParagraphFont"/>
    <w:uiPriority w:val="99"/>
    <w:semiHidden/>
    <w:unhideWhenUsed/>
    <w:rsid w:val="00D95EF4"/>
    <w:rPr>
      <w:color w:val="800080" w:themeColor="followedHyperlink"/>
      <w:u w:val="single"/>
    </w:rPr>
  </w:style>
  <w:style w:type="paragraph" w:styleId="Header">
    <w:name w:val="header"/>
    <w:basedOn w:val="Normal"/>
    <w:link w:val="HeaderChar"/>
    <w:uiPriority w:val="99"/>
    <w:unhideWhenUsed/>
    <w:rsid w:val="00EC5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0A"/>
    <w:rPr>
      <w:rFonts w:asciiTheme="minorHAnsi" w:hAnsiTheme="minorHAnsi"/>
      <w:b w:val="0"/>
      <w:color w:val="auto"/>
      <w:sz w:val="22"/>
      <w:szCs w:val="22"/>
    </w:rPr>
  </w:style>
  <w:style w:type="paragraph" w:styleId="Footer">
    <w:name w:val="footer"/>
    <w:basedOn w:val="Normal"/>
    <w:link w:val="FooterChar"/>
    <w:uiPriority w:val="99"/>
    <w:unhideWhenUsed/>
    <w:rsid w:val="00EC5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0A"/>
    <w:rPr>
      <w:rFonts w:asciiTheme="minorHAnsi" w:hAnsiTheme="minorHAnsi"/>
      <w:b w:val="0"/>
      <w:color w:val="auto"/>
      <w:sz w:val="22"/>
      <w:szCs w:val="22"/>
    </w:rPr>
  </w:style>
  <w:style w:type="character" w:customStyle="1" w:styleId="Heading1Char">
    <w:name w:val="Heading 1 Char"/>
    <w:basedOn w:val="DefaultParagraphFont"/>
    <w:link w:val="Heading1"/>
    <w:uiPriority w:val="9"/>
    <w:rsid w:val="00DA7050"/>
    <w:rPr>
      <w:rFonts w:ascii="Times New Roman" w:eastAsia="Times New Roman" w:hAnsi="Times New Roman" w:cs="Times New Roman"/>
      <w:bCs/>
      <w:color w:val="auto"/>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b/>
        <w:color w:val="1F497D" w:themeColor="text2"/>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45"/>
    <w:rPr>
      <w:rFonts w:asciiTheme="minorHAnsi" w:hAnsiTheme="minorHAnsi"/>
      <w:b w:val="0"/>
      <w:color w:val="auto"/>
      <w:sz w:val="22"/>
      <w:szCs w:val="22"/>
    </w:rPr>
  </w:style>
  <w:style w:type="paragraph" w:styleId="Heading1">
    <w:name w:val="heading 1"/>
    <w:basedOn w:val="Normal"/>
    <w:link w:val="Heading1Char"/>
    <w:uiPriority w:val="9"/>
    <w:qFormat/>
    <w:rsid w:val="00DA7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45"/>
    <w:pPr>
      <w:ind w:left="720"/>
      <w:contextualSpacing/>
    </w:pPr>
  </w:style>
  <w:style w:type="character" w:styleId="Hyperlink">
    <w:name w:val="Hyperlink"/>
    <w:basedOn w:val="DefaultParagraphFont"/>
    <w:uiPriority w:val="99"/>
    <w:unhideWhenUsed/>
    <w:rsid w:val="00D95EF4"/>
    <w:rPr>
      <w:color w:val="0000FF" w:themeColor="hyperlink"/>
      <w:u w:val="single"/>
    </w:rPr>
  </w:style>
  <w:style w:type="character" w:styleId="FollowedHyperlink">
    <w:name w:val="FollowedHyperlink"/>
    <w:basedOn w:val="DefaultParagraphFont"/>
    <w:uiPriority w:val="99"/>
    <w:semiHidden/>
    <w:unhideWhenUsed/>
    <w:rsid w:val="00D95EF4"/>
    <w:rPr>
      <w:color w:val="800080" w:themeColor="followedHyperlink"/>
      <w:u w:val="single"/>
    </w:rPr>
  </w:style>
  <w:style w:type="paragraph" w:styleId="Header">
    <w:name w:val="header"/>
    <w:basedOn w:val="Normal"/>
    <w:link w:val="HeaderChar"/>
    <w:uiPriority w:val="99"/>
    <w:unhideWhenUsed/>
    <w:rsid w:val="00EC5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0A"/>
    <w:rPr>
      <w:rFonts w:asciiTheme="minorHAnsi" w:hAnsiTheme="minorHAnsi"/>
      <w:b w:val="0"/>
      <w:color w:val="auto"/>
      <w:sz w:val="22"/>
      <w:szCs w:val="22"/>
    </w:rPr>
  </w:style>
  <w:style w:type="paragraph" w:styleId="Footer">
    <w:name w:val="footer"/>
    <w:basedOn w:val="Normal"/>
    <w:link w:val="FooterChar"/>
    <w:uiPriority w:val="99"/>
    <w:unhideWhenUsed/>
    <w:rsid w:val="00EC5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0A"/>
    <w:rPr>
      <w:rFonts w:asciiTheme="minorHAnsi" w:hAnsiTheme="minorHAnsi"/>
      <w:b w:val="0"/>
      <w:color w:val="auto"/>
      <w:sz w:val="22"/>
      <w:szCs w:val="22"/>
    </w:rPr>
  </w:style>
  <w:style w:type="character" w:customStyle="1" w:styleId="Heading1Char">
    <w:name w:val="Heading 1 Char"/>
    <w:basedOn w:val="DefaultParagraphFont"/>
    <w:link w:val="Heading1"/>
    <w:uiPriority w:val="9"/>
    <w:rsid w:val="00DA7050"/>
    <w:rPr>
      <w:rFonts w:ascii="Times New Roman" w:eastAsia="Times New Roman" w:hAnsi="Times New Roman" w:cs="Times New Roman"/>
      <w:bCs/>
      <w:color w:val="auto"/>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7276">
      <w:bodyDiv w:val="1"/>
      <w:marLeft w:val="0"/>
      <w:marRight w:val="0"/>
      <w:marTop w:val="0"/>
      <w:marBottom w:val="0"/>
      <w:divBdr>
        <w:top w:val="none" w:sz="0" w:space="0" w:color="auto"/>
        <w:left w:val="none" w:sz="0" w:space="0" w:color="auto"/>
        <w:bottom w:val="none" w:sz="0" w:space="0" w:color="auto"/>
        <w:right w:val="none" w:sz="0" w:space="0" w:color="auto"/>
      </w:divBdr>
      <w:divsChild>
        <w:div w:id="1060202872">
          <w:marLeft w:val="547"/>
          <w:marRight w:val="0"/>
          <w:marTop w:val="48"/>
          <w:marBottom w:val="0"/>
          <w:divBdr>
            <w:top w:val="none" w:sz="0" w:space="0" w:color="auto"/>
            <w:left w:val="none" w:sz="0" w:space="0" w:color="auto"/>
            <w:bottom w:val="none" w:sz="0" w:space="0" w:color="auto"/>
            <w:right w:val="none" w:sz="0" w:space="0" w:color="auto"/>
          </w:divBdr>
        </w:div>
        <w:div w:id="1831359927">
          <w:marLeft w:val="1166"/>
          <w:marRight w:val="0"/>
          <w:marTop w:val="48"/>
          <w:marBottom w:val="0"/>
          <w:divBdr>
            <w:top w:val="none" w:sz="0" w:space="0" w:color="auto"/>
            <w:left w:val="none" w:sz="0" w:space="0" w:color="auto"/>
            <w:bottom w:val="none" w:sz="0" w:space="0" w:color="auto"/>
            <w:right w:val="none" w:sz="0" w:space="0" w:color="auto"/>
          </w:divBdr>
        </w:div>
        <w:div w:id="2056081248">
          <w:marLeft w:val="1166"/>
          <w:marRight w:val="0"/>
          <w:marTop w:val="48"/>
          <w:marBottom w:val="0"/>
          <w:divBdr>
            <w:top w:val="none" w:sz="0" w:space="0" w:color="auto"/>
            <w:left w:val="none" w:sz="0" w:space="0" w:color="auto"/>
            <w:bottom w:val="none" w:sz="0" w:space="0" w:color="auto"/>
            <w:right w:val="none" w:sz="0" w:space="0" w:color="auto"/>
          </w:divBdr>
        </w:div>
        <w:div w:id="545456524">
          <w:marLeft w:val="1166"/>
          <w:marRight w:val="0"/>
          <w:marTop w:val="48"/>
          <w:marBottom w:val="0"/>
          <w:divBdr>
            <w:top w:val="none" w:sz="0" w:space="0" w:color="auto"/>
            <w:left w:val="none" w:sz="0" w:space="0" w:color="auto"/>
            <w:bottom w:val="none" w:sz="0" w:space="0" w:color="auto"/>
            <w:right w:val="none" w:sz="0" w:space="0" w:color="auto"/>
          </w:divBdr>
        </w:div>
        <w:div w:id="455607494">
          <w:marLeft w:val="1166"/>
          <w:marRight w:val="0"/>
          <w:marTop w:val="48"/>
          <w:marBottom w:val="0"/>
          <w:divBdr>
            <w:top w:val="none" w:sz="0" w:space="0" w:color="auto"/>
            <w:left w:val="none" w:sz="0" w:space="0" w:color="auto"/>
            <w:bottom w:val="none" w:sz="0" w:space="0" w:color="auto"/>
            <w:right w:val="none" w:sz="0" w:space="0" w:color="auto"/>
          </w:divBdr>
        </w:div>
        <w:div w:id="1981112511">
          <w:marLeft w:val="1166"/>
          <w:marRight w:val="0"/>
          <w:marTop w:val="48"/>
          <w:marBottom w:val="0"/>
          <w:divBdr>
            <w:top w:val="none" w:sz="0" w:space="0" w:color="auto"/>
            <w:left w:val="none" w:sz="0" w:space="0" w:color="auto"/>
            <w:bottom w:val="none" w:sz="0" w:space="0" w:color="auto"/>
            <w:right w:val="none" w:sz="0" w:space="0" w:color="auto"/>
          </w:divBdr>
        </w:div>
      </w:divsChild>
    </w:div>
    <w:div w:id="681930447">
      <w:bodyDiv w:val="1"/>
      <w:marLeft w:val="0"/>
      <w:marRight w:val="0"/>
      <w:marTop w:val="0"/>
      <w:marBottom w:val="0"/>
      <w:divBdr>
        <w:top w:val="none" w:sz="0" w:space="0" w:color="auto"/>
        <w:left w:val="none" w:sz="0" w:space="0" w:color="auto"/>
        <w:bottom w:val="none" w:sz="0" w:space="0" w:color="auto"/>
        <w:right w:val="none" w:sz="0" w:space="0" w:color="auto"/>
      </w:divBdr>
    </w:div>
    <w:div w:id="1059088238">
      <w:bodyDiv w:val="1"/>
      <w:marLeft w:val="0"/>
      <w:marRight w:val="0"/>
      <w:marTop w:val="0"/>
      <w:marBottom w:val="0"/>
      <w:divBdr>
        <w:top w:val="none" w:sz="0" w:space="0" w:color="auto"/>
        <w:left w:val="none" w:sz="0" w:space="0" w:color="auto"/>
        <w:bottom w:val="none" w:sz="0" w:space="0" w:color="auto"/>
        <w:right w:val="none" w:sz="0" w:space="0" w:color="auto"/>
      </w:divBdr>
      <w:divsChild>
        <w:div w:id="1395741263">
          <w:marLeft w:val="547"/>
          <w:marRight w:val="0"/>
          <w:marTop w:val="48"/>
          <w:marBottom w:val="0"/>
          <w:divBdr>
            <w:top w:val="none" w:sz="0" w:space="0" w:color="auto"/>
            <w:left w:val="none" w:sz="0" w:space="0" w:color="auto"/>
            <w:bottom w:val="none" w:sz="0" w:space="0" w:color="auto"/>
            <w:right w:val="none" w:sz="0" w:space="0" w:color="auto"/>
          </w:divBdr>
        </w:div>
      </w:divsChild>
    </w:div>
    <w:div w:id="1651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economics.co.uk/article/1386078/cqc-essentials-effective-governance-arrangements-gp-practices" TargetMode="External"/><Relationship Id="rId18" Type="http://schemas.openxmlformats.org/officeDocument/2006/relationships/hyperlink" Target="https://www.england.nhs.uk/wp-content/uploads/2015/11/pol-safeguarding-proxy-webinar-slides-0216.pdf" TargetMode="External"/><Relationship Id="rId26" Type="http://schemas.openxmlformats.org/officeDocument/2006/relationships/hyperlink" Target="https://wessexahsn.org.uk/projects/281/safer-practice-framework" TargetMode="External"/><Relationship Id="rId3" Type="http://schemas.microsoft.com/office/2007/relationships/stylesWithEffects" Target="stylesWithEffects.xml"/><Relationship Id="rId21" Type="http://schemas.openxmlformats.org/officeDocument/2006/relationships/hyperlink" Target="https://www.cqc.org.uk/guidance-providers/gps/nigels-surgery-6-guidance-about-privacy-curtains" TargetMode="External"/><Relationship Id="rId7" Type="http://schemas.openxmlformats.org/officeDocument/2006/relationships/endnotes" Target="endnotes.xml"/><Relationship Id="rId12" Type="http://schemas.openxmlformats.org/officeDocument/2006/relationships/hyperlink" Target="https://www.cqc.org.uk/guidance-providers/gps/nigels-surgery-65-effective-clinical-governance-arrangements-gp-practices" TargetMode="External"/><Relationship Id="rId17" Type="http://schemas.openxmlformats.org/officeDocument/2006/relationships/hyperlink" Target="https://www.wessexlmcs.com/transgenderpatientsgenderreassignment" TargetMode="External"/><Relationship Id="rId25" Type="http://schemas.openxmlformats.org/officeDocument/2006/relationships/hyperlink" Target="https://www.cqc.org.uk/guidance-providers/gps/what-does-inadequate-practice-look-examples-our-gp-inspections" TargetMode="External"/><Relationship Id="rId2" Type="http://schemas.openxmlformats.org/officeDocument/2006/relationships/styles" Target="styles.xml"/><Relationship Id="rId16" Type="http://schemas.openxmlformats.org/officeDocument/2006/relationships/hyperlink" Target="https://www.nhsemployers.org/your-workforce/recruit/employment-checks" TargetMode="External"/><Relationship Id="rId20" Type="http://schemas.openxmlformats.org/officeDocument/2006/relationships/hyperlink" Target="https://www.nice.org.uk/guidance/mpg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s.nhs.uk/articles/retaining-pgd-documentation/" TargetMode="External"/><Relationship Id="rId24" Type="http://schemas.openxmlformats.org/officeDocument/2006/relationships/hyperlink" Target="https://www.cqc.org.uk/guidance-providers/gps/examples-outstanding-practice-gps" TargetMode="External"/><Relationship Id="rId5" Type="http://schemas.openxmlformats.org/officeDocument/2006/relationships/webSettings" Target="webSettings.xml"/><Relationship Id="rId15" Type="http://schemas.openxmlformats.org/officeDocument/2006/relationships/hyperlink" Target="https://www.cqc.org.uk/guidance-providers/gps/nigels-surgery-2-who-should-have-disclosure-barring-service-dbs-check" TargetMode="External"/><Relationship Id="rId23" Type="http://schemas.openxmlformats.org/officeDocument/2006/relationships/hyperlink" Target="https://www.cqc.org.uk/sites/default/files/20180306_how-we-regulate-primary-medical-services-gp-practices_updated.pdf" TargetMode="External"/><Relationship Id="rId28" Type="http://schemas.openxmlformats.org/officeDocument/2006/relationships/hyperlink" Target="https://www.wessexlmcs.com/carequalitycommissioncqc" TargetMode="External"/><Relationship Id="rId10" Type="http://schemas.openxmlformats.org/officeDocument/2006/relationships/hyperlink" Target="https://www.cqc.org.uk/guidance-providers/registration/making-changes-your-registration" TargetMode="External"/><Relationship Id="rId19" Type="http://schemas.openxmlformats.org/officeDocument/2006/relationships/hyperlink" Target="https://www.wessexlmcs.com/lunchandlearn/purchase/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alidation.nmc.org.uk/index.html" TargetMode="External"/><Relationship Id="rId14" Type="http://schemas.openxmlformats.org/officeDocument/2006/relationships/hyperlink" Target="https://www.wessexlmcs.com/dbs" TargetMode="External"/><Relationship Id="rId22" Type="http://schemas.openxmlformats.org/officeDocument/2006/relationships/hyperlink" Target="https://cfa.nhs.uk/resources/downloads/guidance/Management%20and%20control%20of%20prescription%20forms_v1.0%20March%202018.pdf" TargetMode="External"/><Relationship Id="rId27" Type="http://schemas.openxmlformats.org/officeDocument/2006/relationships/hyperlink" Target="https://www.kingsfund.org.uk/projects/assessing-leadership-culture-primary-healthca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2020-02-07T10:15:00Z</dcterms:created>
  <dcterms:modified xsi:type="dcterms:W3CDTF">2020-02-07T10:21:00Z</dcterms:modified>
</cp:coreProperties>
</file>