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244" w:rsidRPr="003C6244" w:rsidRDefault="003C6244" w:rsidP="003C6244">
      <w:pPr>
        <w:spacing w:before="100" w:beforeAutospacing="1" w:after="100" w:afterAutospacing="1" w:line="240" w:lineRule="auto"/>
        <w:outlineLvl w:val="0"/>
        <w:rPr>
          <w:rFonts w:ascii="Arial" w:eastAsia="Times New Roman" w:hAnsi="Arial" w:cs="Arial"/>
          <w:b/>
          <w:bCs/>
          <w:kern w:val="36"/>
          <w:sz w:val="48"/>
          <w:szCs w:val="48"/>
          <w:lang w:val="en" w:eastAsia="en-GB"/>
        </w:rPr>
      </w:pPr>
      <w:bookmarkStart w:id="0" w:name="_GoBack"/>
      <w:bookmarkEnd w:id="0"/>
      <w:r w:rsidRPr="003C6244">
        <w:rPr>
          <w:rFonts w:ascii="Arial" w:eastAsia="Times New Roman" w:hAnsi="Arial" w:cs="Arial"/>
          <w:b/>
          <w:bCs/>
          <w:kern w:val="36"/>
          <w:sz w:val="48"/>
          <w:szCs w:val="48"/>
          <w:lang w:val="en" w:eastAsia="en-GB"/>
        </w:rPr>
        <w:t>CQC update for general practices</w:t>
      </w:r>
    </w:p>
    <w:p w:rsidR="003C6244" w:rsidRPr="003C6244" w:rsidRDefault="003C6244" w:rsidP="003C6244">
      <w:pPr>
        <w:spacing w:after="0" w:line="240" w:lineRule="auto"/>
        <w:rPr>
          <w:rFonts w:ascii="Arial" w:eastAsia="Times New Roman" w:hAnsi="Arial" w:cs="Arial"/>
          <w:sz w:val="20"/>
          <w:szCs w:val="20"/>
          <w:lang w:val="en" w:eastAsia="en-GB"/>
        </w:rPr>
      </w:pPr>
      <w:r w:rsidRPr="003C6244">
        <w:rPr>
          <w:rFonts w:ascii="Arial" w:eastAsia="Times New Roman" w:hAnsi="Arial" w:cs="Arial"/>
          <w:sz w:val="20"/>
          <w:szCs w:val="20"/>
          <w:lang w:val="en" w:eastAsia="en-GB"/>
        </w:rPr>
        <w:t xml:space="preserve">This bulletin was sent at 27-02-2019 02:00 PM GMT </w:t>
      </w:r>
    </w:p>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3C6244" w:rsidRPr="003C6244" w:rsidTr="003C6244">
        <w:trPr>
          <w:tblCellSpacing w:w="0" w:type="dxa"/>
          <w:jc w:val="center"/>
        </w:trPr>
        <w:tc>
          <w:tcPr>
            <w:tcW w:w="0" w:type="auto"/>
            <w:shd w:val="clear" w:color="auto" w:fill="EEEEEE"/>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3C6244" w:rsidRPr="003C6244">
              <w:trPr>
                <w:jc w:val="center"/>
              </w:trPr>
              <w:tc>
                <w:tcPr>
                  <w:tcW w:w="9000" w:type="dxa"/>
                  <w:shd w:val="clear" w:color="auto" w:fill="FFFFFF"/>
                  <w:tcMar>
                    <w:top w:w="75" w:type="dxa"/>
                    <w:left w:w="75"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850"/>
                  </w:tblGrid>
                  <w:tr w:rsidR="003C6244" w:rsidRPr="003C6244">
                    <w:tc>
                      <w:tcPr>
                        <w:tcW w:w="0" w:type="auto"/>
                        <w:hideMark/>
                      </w:tcPr>
                      <w:p w:rsidR="003C6244" w:rsidRPr="003C6244" w:rsidRDefault="003C6244" w:rsidP="003C6244">
                        <w:pPr>
                          <w:spacing w:after="195" w:line="240" w:lineRule="auto"/>
                          <w:jc w:val="right"/>
                          <w:outlineLvl w:val="2"/>
                          <w:rPr>
                            <w:rFonts w:ascii="Arial" w:eastAsia="Times New Roman" w:hAnsi="Arial" w:cs="Arial"/>
                            <w:b/>
                            <w:bCs/>
                            <w:sz w:val="23"/>
                            <w:szCs w:val="23"/>
                            <w:lang w:eastAsia="en-GB"/>
                          </w:rPr>
                        </w:pPr>
                        <w:r w:rsidRPr="003C6244">
                          <w:rPr>
                            <w:rFonts w:ascii="Arial" w:eastAsia="Times New Roman" w:hAnsi="Arial" w:cs="Arial"/>
                            <w:b/>
                            <w:bCs/>
                            <w:noProof/>
                            <w:sz w:val="20"/>
                            <w:szCs w:val="20"/>
                            <w:lang w:val="en" w:eastAsia="en-GB"/>
                          </w:rPr>
                          <w:drawing>
                            <wp:anchor distT="0" distB="0" distL="66675" distR="66675" simplePos="0" relativeHeight="251659264" behindDoc="0" locked="0" layoutInCell="1" allowOverlap="0" wp14:anchorId="12A6547C" wp14:editId="4565038B">
                              <wp:simplePos x="0" y="0"/>
                              <wp:positionH relativeFrom="column">
                                <wp:align>left</wp:align>
                              </wp:positionH>
                              <wp:positionV relativeFrom="line">
                                <wp:posOffset>0</wp:posOffset>
                              </wp:positionV>
                              <wp:extent cx="1676400" cy="552450"/>
                              <wp:effectExtent l="0" t="0" r="0" b="0"/>
                              <wp:wrapSquare wrapText="bothSides"/>
                              <wp:docPr id="2" name="Picture 2" descr="CQC logo for email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QC logo for email masthe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640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244">
                          <w:rPr>
                            <w:rFonts w:ascii="Arial" w:eastAsia="Times New Roman" w:hAnsi="Arial" w:cs="Arial"/>
                            <w:b/>
                            <w:bCs/>
                            <w:sz w:val="23"/>
                            <w:szCs w:val="23"/>
                            <w:lang w:eastAsia="en-GB"/>
                          </w:rPr>
                          <w:t>The independent regulator of health</w:t>
                        </w:r>
                        <w:r w:rsidRPr="003C6244">
                          <w:rPr>
                            <w:rFonts w:ascii="Arial" w:eastAsia="Times New Roman" w:hAnsi="Arial" w:cs="Arial"/>
                            <w:b/>
                            <w:bCs/>
                            <w:sz w:val="23"/>
                            <w:szCs w:val="23"/>
                            <w:lang w:eastAsia="en-GB"/>
                          </w:rPr>
                          <w:br/>
                          <w:t xml:space="preserve"> and social care in England </w:t>
                        </w:r>
                      </w:p>
                    </w:tc>
                  </w:tr>
                </w:tbl>
                <w:p w:rsidR="003C6244" w:rsidRPr="003C6244" w:rsidRDefault="003C6244" w:rsidP="003C6244">
                  <w:pPr>
                    <w:spacing w:after="0" w:line="240" w:lineRule="auto"/>
                    <w:rPr>
                      <w:rFonts w:ascii="Times New Roman" w:eastAsia="Times New Roman" w:hAnsi="Times New Roman" w:cs="Times New Roman"/>
                      <w:sz w:val="24"/>
                      <w:szCs w:val="24"/>
                      <w:lang w:eastAsia="en-GB"/>
                    </w:rPr>
                  </w:pPr>
                </w:p>
              </w:tc>
            </w:tr>
            <w:tr w:rsidR="003C6244" w:rsidRPr="003C6244">
              <w:trPr>
                <w:jc w:val="center"/>
              </w:trPr>
              <w:tc>
                <w:tcPr>
                  <w:tcW w:w="9000" w:type="dxa"/>
                  <w:shd w:val="clear" w:color="auto" w:fill="FFFFFF"/>
                  <w:tcMar>
                    <w:top w:w="75" w:type="dxa"/>
                    <w:left w:w="75" w:type="dxa"/>
                    <w:bottom w:w="75" w:type="dxa"/>
                    <w:right w:w="75" w:type="dxa"/>
                  </w:tcMar>
                  <w:hideMark/>
                </w:tcPr>
                <w:p w:rsidR="003C6244" w:rsidRPr="003C6244" w:rsidRDefault="003C6244" w:rsidP="003C6244">
                  <w:pPr>
                    <w:spacing w:before="100" w:beforeAutospacing="1" w:after="240" w:line="240" w:lineRule="auto"/>
                    <w:rPr>
                      <w:rFonts w:ascii="Arial" w:eastAsia="Times New Roman" w:hAnsi="Arial" w:cs="Arial"/>
                      <w:color w:val="232323"/>
                      <w:sz w:val="20"/>
                      <w:szCs w:val="20"/>
                      <w:lang w:eastAsia="en-GB"/>
                    </w:rPr>
                  </w:pPr>
                  <w:r w:rsidRPr="003C6244">
                    <w:rPr>
                      <w:rFonts w:ascii="Arial" w:eastAsia="Times New Roman" w:hAnsi="Arial" w:cs="Arial"/>
                      <w:color w:val="232323"/>
                      <w:sz w:val="20"/>
                      <w:szCs w:val="20"/>
                      <w:lang w:eastAsia="en-GB"/>
                    </w:rPr>
                    <w:t>27 February 2019</w:t>
                  </w:r>
                </w:p>
                <w:p w:rsidR="003C6244" w:rsidRPr="003C6244" w:rsidRDefault="003C6244" w:rsidP="003C6244">
                  <w:pPr>
                    <w:spacing w:before="100" w:beforeAutospacing="1" w:after="240" w:line="240" w:lineRule="auto"/>
                    <w:rPr>
                      <w:rFonts w:ascii="Arial" w:eastAsia="Times New Roman" w:hAnsi="Arial" w:cs="Arial"/>
                      <w:color w:val="232323"/>
                      <w:sz w:val="20"/>
                      <w:szCs w:val="20"/>
                      <w:lang w:eastAsia="en-GB"/>
                    </w:rPr>
                  </w:pPr>
                  <w:r w:rsidRPr="003C6244">
                    <w:rPr>
                      <w:rFonts w:ascii="Arial" w:eastAsia="Times New Roman" w:hAnsi="Arial" w:cs="Arial"/>
                      <w:color w:val="232323"/>
                      <w:sz w:val="20"/>
                      <w:szCs w:val="20"/>
                      <w:lang w:eastAsia="en-GB"/>
                    </w:rPr>
                    <w:t>Dear provider,</w:t>
                  </w:r>
                </w:p>
                <w:p w:rsidR="003C6244" w:rsidRPr="003C6244" w:rsidRDefault="003C6244" w:rsidP="003C6244">
                  <w:pPr>
                    <w:spacing w:before="100" w:beforeAutospacing="1" w:after="240" w:line="240" w:lineRule="auto"/>
                    <w:rPr>
                      <w:rFonts w:ascii="Arial" w:eastAsia="Times New Roman" w:hAnsi="Arial" w:cs="Arial"/>
                      <w:color w:val="232323"/>
                      <w:sz w:val="20"/>
                      <w:szCs w:val="20"/>
                      <w:lang w:eastAsia="en-GB"/>
                    </w:rPr>
                  </w:pPr>
                  <w:r w:rsidRPr="003C6244">
                    <w:rPr>
                      <w:rFonts w:ascii="Arial" w:eastAsia="Times New Roman" w:hAnsi="Arial" w:cs="Arial"/>
                      <w:b/>
                      <w:bCs/>
                      <w:color w:val="232323"/>
                      <w:sz w:val="20"/>
                      <w:szCs w:val="20"/>
                      <w:lang w:eastAsia="en-GB"/>
                    </w:rPr>
                    <w:t>Annual regulatory review and focused inspections for practices rated good or outstanding to be introduced from 1 April 2019.</w:t>
                  </w:r>
                  <w:r w:rsidRPr="003C6244">
                    <w:rPr>
                      <w:rFonts w:ascii="Arial" w:eastAsia="Times New Roman" w:hAnsi="Arial" w:cs="Arial"/>
                      <w:color w:val="232323"/>
                      <w:sz w:val="20"/>
                      <w:szCs w:val="20"/>
                      <w:lang w:eastAsia="en-GB"/>
                    </w:rPr>
                    <w:t> </w:t>
                  </w:r>
                </w:p>
                <w:p w:rsidR="003C6244" w:rsidRPr="003C6244" w:rsidRDefault="003C6244" w:rsidP="003C6244">
                  <w:pPr>
                    <w:spacing w:before="100" w:beforeAutospacing="1" w:after="240" w:line="240" w:lineRule="auto"/>
                    <w:rPr>
                      <w:rFonts w:ascii="Arial" w:eastAsia="Times New Roman" w:hAnsi="Arial" w:cs="Arial"/>
                      <w:color w:val="232323"/>
                      <w:sz w:val="20"/>
                      <w:szCs w:val="20"/>
                      <w:lang w:eastAsia="en-GB"/>
                    </w:rPr>
                  </w:pPr>
                  <w:r w:rsidRPr="003C6244">
                    <w:rPr>
                      <w:rFonts w:ascii="Arial" w:eastAsia="Times New Roman" w:hAnsi="Arial" w:cs="Arial"/>
                      <w:color w:val="232323"/>
                      <w:sz w:val="20"/>
                      <w:szCs w:val="20"/>
                      <w:lang w:eastAsia="en-GB"/>
                    </w:rPr>
                    <w:t xml:space="preserve">Our </w:t>
                  </w:r>
                  <w:hyperlink r:id="rId5" w:history="1">
                    <w:r w:rsidRPr="003C6244">
                      <w:rPr>
                        <w:rFonts w:ascii="Arial" w:eastAsia="Times New Roman" w:hAnsi="Arial" w:cs="Arial"/>
                        <w:color w:val="1D5782"/>
                        <w:sz w:val="20"/>
                        <w:szCs w:val="20"/>
                        <w:u w:val="single"/>
                        <w:lang w:eastAsia="en-GB"/>
                      </w:rPr>
                      <w:t>strategy for 2016 to 2021</w:t>
                    </w:r>
                  </w:hyperlink>
                  <w:r w:rsidRPr="003C6244">
                    <w:rPr>
                      <w:rFonts w:ascii="Arial" w:eastAsia="Times New Roman" w:hAnsi="Arial" w:cs="Arial"/>
                      <w:color w:val="232323"/>
                      <w:sz w:val="20"/>
                      <w:szCs w:val="20"/>
                      <w:lang w:eastAsia="en-GB"/>
                    </w:rPr>
                    <w:t xml:space="preserve"> set out our new approach to the regulation of general practice. This approach was based on the fact that the vast majority of GP practices have been rated good or outstanding, allowing us to introduce a more proportionate approach to regulation. This means only inspecting a sample of good and outstanding practices each year with a maximum re-inspection timescale of five years.</w:t>
                  </w:r>
                </w:p>
                <w:p w:rsidR="003C6244" w:rsidRPr="003C6244" w:rsidRDefault="003C6244" w:rsidP="003C6244">
                  <w:pPr>
                    <w:spacing w:before="100" w:beforeAutospacing="1" w:after="240" w:line="240" w:lineRule="auto"/>
                    <w:rPr>
                      <w:rFonts w:ascii="Arial" w:eastAsia="Times New Roman" w:hAnsi="Arial" w:cs="Arial"/>
                      <w:color w:val="232323"/>
                      <w:sz w:val="20"/>
                      <w:szCs w:val="20"/>
                      <w:lang w:eastAsia="en-GB"/>
                    </w:rPr>
                  </w:pPr>
                  <w:r w:rsidRPr="003C6244">
                    <w:rPr>
                      <w:rFonts w:ascii="Arial" w:eastAsia="Times New Roman" w:hAnsi="Arial" w:cs="Arial"/>
                      <w:color w:val="232323"/>
                      <w:sz w:val="20"/>
                      <w:szCs w:val="20"/>
                      <w:lang w:eastAsia="en-GB"/>
                    </w:rPr>
                    <w:t xml:space="preserve">To support this change, we are introducing an </w:t>
                  </w:r>
                  <w:r w:rsidRPr="003C6244">
                    <w:rPr>
                      <w:rFonts w:ascii="Arial" w:eastAsia="Times New Roman" w:hAnsi="Arial" w:cs="Arial"/>
                      <w:b/>
                      <w:bCs/>
                      <w:color w:val="232323"/>
                      <w:sz w:val="20"/>
                      <w:szCs w:val="20"/>
                      <w:lang w:eastAsia="en-GB"/>
                    </w:rPr>
                    <w:t>annual regulatory review</w:t>
                  </w:r>
                  <w:r w:rsidRPr="003C6244">
                    <w:rPr>
                      <w:rFonts w:ascii="Arial" w:eastAsia="Times New Roman" w:hAnsi="Arial" w:cs="Arial"/>
                      <w:color w:val="232323"/>
                      <w:sz w:val="20"/>
                      <w:szCs w:val="20"/>
                      <w:lang w:eastAsia="en-GB"/>
                    </w:rPr>
                    <w:t>. This means each year our inspectors will formally review all of the information that they hold on each practice and consider whether it indicates that the quality of care may have changed since the last inspection or, in time, annual regulatory review. This approach will help us to prioritise our inspections where there has been most change, either deterioration or improvement. We can then continue to focus where risk is greatest while also supporting practices to improve. It will also enable us to move to more focused inspections that concentrate on those areas of most change. </w:t>
                  </w:r>
                </w:p>
                <w:p w:rsidR="003C6244" w:rsidRPr="003C6244" w:rsidRDefault="003C6244" w:rsidP="003C6244">
                  <w:pPr>
                    <w:spacing w:before="100" w:beforeAutospacing="1" w:after="240" w:line="240" w:lineRule="auto"/>
                    <w:rPr>
                      <w:rFonts w:ascii="Arial" w:eastAsia="Times New Roman" w:hAnsi="Arial" w:cs="Arial"/>
                      <w:color w:val="232323"/>
                      <w:sz w:val="20"/>
                      <w:szCs w:val="20"/>
                      <w:lang w:eastAsia="en-GB"/>
                    </w:rPr>
                  </w:pPr>
                  <w:r w:rsidRPr="003C6244">
                    <w:rPr>
                      <w:rFonts w:ascii="Arial" w:eastAsia="Times New Roman" w:hAnsi="Arial" w:cs="Arial"/>
                      <w:color w:val="232323"/>
                      <w:sz w:val="20"/>
                      <w:szCs w:val="20"/>
                      <w:lang w:eastAsia="en-GB"/>
                    </w:rPr>
                    <w:t xml:space="preserve">As part of this process, our inspectors will arrange a telephone call with GP practices, where they will ask </w:t>
                  </w:r>
                  <w:hyperlink r:id="rId6" w:tgtFrame="_blank" w:history="1">
                    <w:r w:rsidRPr="003C6244">
                      <w:rPr>
                        <w:rFonts w:ascii="Arial" w:eastAsia="Times New Roman" w:hAnsi="Arial" w:cs="Arial"/>
                        <w:color w:val="1D5782"/>
                        <w:sz w:val="20"/>
                        <w:szCs w:val="20"/>
                        <w:u w:val="single"/>
                        <w:lang w:eastAsia="en-GB"/>
                      </w:rPr>
                      <w:t>a set of questions</w:t>
                    </w:r>
                  </w:hyperlink>
                  <w:r w:rsidRPr="003C6244">
                    <w:rPr>
                      <w:rFonts w:ascii="Arial" w:eastAsia="Times New Roman" w:hAnsi="Arial" w:cs="Arial"/>
                      <w:color w:val="232323"/>
                      <w:sz w:val="20"/>
                      <w:szCs w:val="20"/>
                      <w:lang w:eastAsia="en-GB"/>
                    </w:rPr>
                    <w:t>. They will contact practices four weeks in advance to arrange a mutually convenient time for this call. We expect the call to last no longer than one hour. The purpose of the provider information collection is to help us and practices provide context to all other information CQC has access to in order to make a decision about whether we need to inspect, what we should focus on, and when this should be. These calls are not inspections, they are a conversation about changes in quality that underpin the development of the relationship between a practice and inspector.</w:t>
                  </w:r>
                </w:p>
                <w:p w:rsidR="003C6244" w:rsidRPr="003C6244" w:rsidRDefault="003C6244" w:rsidP="003C6244">
                  <w:pPr>
                    <w:spacing w:before="100" w:beforeAutospacing="1" w:after="240" w:line="240" w:lineRule="auto"/>
                    <w:rPr>
                      <w:rFonts w:ascii="Arial" w:eastAsia="Times New Roman" w:hAnsi="Arial" w:cs="Arial"/>
                      <w:color w:val="232323"/>
                      <w:sz w:val="20"/>
                      <w:szCs w:val="20"/>
                      <w:lang w:eastAsia="en-GB"/>
                    </w:rPr>
                  </w:pPr>
                  <w:r w:rsidRPr="003C6244">
                    <w:rPr>
                      <w:rFonts w:ascii="Arial" w:eastAsia="Times New Roman" w:hAnsi="Arial" w:cs="Arial"/>
                      <w:color w:val="232323"/>
                      <w:sz w:val="20"/>
                      <w:szCs w:val="20"/>
                      <w:lang w:eastAsia="en-GB"/>
                    </w:rPr>
                    <w:t>We encourage practices to consider the questions as part of multi-disciplinary team discussions to help reflect on what has changed over the previous 12 months. This can help practices to prepare responses to the questions that enable us to carry out an effective annual regulatory review.</w:t>
                  </w:r>
                </w:p>
                <w:p w:rsidR="003C6244" w:rsidRPr="003C6244" w:rsidRDefault="003C6244" w:rsidP="003C6244">
                  <w:pPr>
                    <w:spacing w:before="100" w:beforeAutospacing="1" w:after="240" w:line="240" w:lineRule="auto"/>
                    <w:rPr>
                      <w:rFonts w:ascii="Arial" w:eastAsia="Times New Roman" w:hAnsi="Arial" w:cs="Arial"/>
                      <w:color w:val="232323"/>
                      <w:sz w:val="20"/>
                      <w:szCs w:val="20"/>
                      <w:lang w:eastAsia="en-GB"/>
                    </w:rPr>
                  </w:pPr>
                  <w:r w:rsidRPr="003C6244">
                    <w:rPr>
                      <w:rFonts w:ascii="Arial" w:eastAsia="Times New Roman" w:hAnsi="Arial" w:cs="Arial"/>
                      <w:color w:val="232323"/>
                      <w:sz w:val="20"/>
                      <w:szCs w:val="20"/>
                      <w:lang w:eastAsia="en-GB"/>
                    </w:rPr>
                    <w:t>It is important to understand that an annual regulatory review cannot change a rating, only an inspection can do this. The information collected during these phone calls is no more or less important than any other information and intelligence we hold. We will consider all the information in our decision making.  </w:t>
                  </w:r>
                </w:p>
                <w:p w:rsidR="003C6244" w:rsidRPr="003C6244" w:rsidRDefault="003C6244" w:rsidP="003C6244">
                  <w:pPr>
                    <w:spacing w:before="100" w:beforeAutospacing="1" w:after="240" w:line="240" w:lineRule="auto"/>
                    <w:rPr>
                      <w:rFonts w:ascii="Arial" w:eastAsia="Times New Roman" w:hAnsi="Arial" w:cs="Arial"/>
                      <w:color w:val="232323"/>
                      <w:sz w:val="20"/>
                      <w:szCs w:val="20"/>
                      <w:lang w:eastAsia="en-GB"/>
                    </w:rPr>
                  </w:pPr>
                  <w:r w:rsidRPr="003C6244">
                    <w:rPr>
                      <w:rFonts w:ascii="Arial" w:eastAsia="Times New Roman" w:hAnsi="Arial" w:cs="Arial"/>
                      <w:color w:val="232323"/>
                      <w:sz w:val="20"/>
                      <w:szCs w:val="20"/>
                      <w:lang w:eastAsia="en-GB"/>
                    </w:rPr>
                    <w:t>Our response to risk will not change, but we will also be looking at potential improvements that may indicate we need to inspect and re-rate so that we can continue to accurately describe the quality of care at a practice.  Where we make the decision to inspect a practice rated good or outstanding, this will be a focused inspection in most cases. A focused inspection may not always consider all five key questions, although we will always inspect the effective and well-led key questions as a minimum. Any decision to inspect other key questions will be based on the information we hold, identify on any inspection or assessed as part of the annual regulatory review.  </w:t>
                  </w:r>
                </w:p>
                <w:p w:rsidR="003C6244" w:rsidRPr="003C6244" w:rsidRDefault="003C6244" w:rsidP="003C6244">
                  <w:pPr>
                    <w:spacing w:before="100" w:beforeAutospacing="1" w:after="240" w:line="240" w:lineRule="auto"/>
                    <w:rPr>
                      <w:rFonts w:ascii="Arial" w:eastAsia="Times New Roman" w:hAnsi="Arial" w:cs="Arial"/>
                      <w:color w:val="232323"/>
                      <w:sz w:val="20"/>
                      <w:szCs w:val="20"/>
                      <w:lang w:eastAsia="en-GB"/>
                    </w:rPr>
                  </w:pPr>
                  <w:r w:rsidRPr="003C6244">
                    <w:rPr>
                      <w:rFonts w:ascii="Arial" w:eastAsia="Times New Roman" w:hAnsi="Arial" w:cs="Arial"/>
                      <w:color w:val="232323"/>
                      <w:sz w:val="20"/>
                      <w:szCs w:val="20"/>
                      <w:lang w:eastAsia="en-GB"/>
                    </w:rPr>
                    <w:lastRenderedPageBreak/>
                    <w:t xml:space="preserve">We have consulted the RCGP and BMA on this approach and have tested with a number of practices prior to introducing. We will provide supporting material through our regular provider bulletin, our inspectors and </w:t>
                  </w:r>
                  <w:hyperlink r:id="rId7" w:tgtFrame="_blank" w:history="1">
                    <w:r w:rsidRPr="003C6244">
                      <w:rPr>
                        <w:rFonts w:ascii="Arial" w:eastAsia="Times New Roman" w:hAnsi="Arial" w:cs="Arial"/>
                        <w:color w:val="1D5782"/>
                        <w:sz w:val="20"/>
                        <w:szCs w:val="20"/>
                        <w:u w:val="single"/>
                        <w:lang w:eastAsia="en-GB"/>
                      </w:rPr>
                      <w:t>through updates to our guidance</w:t>
                    </w:r>
                  </w:hyperlink>
                  <w:r w:rsidRPr="003C6244">
                    <w:rPr>
                      <w:rFonts w:ascii="Arial" w:eastAsia="Times New Roman" w:hAnsi="Arial" w:cs="Arial"/>
                      <w:color w:val="232323"/>
                      <w:sz w:val="20"/>
                      <w:szCs w:val="20"/>
                      <w:lang w:eastAsia="en-GB"/>
                    </w:rPr>
                    <w:t>.</w:t>
                  </w:r>
                </w:p>
              </w:tc>
            </w:tr>
            <w:tr w:rsidR="003C6244" w:rsidRPr="003C6244">
              <w:trPr>
                <w:jc w:val="center"/>
              </w:trPr>
              <w:tc>
                <w:tcPr>
                  <w:tcW w:w="9000" w:type="dxa"/>
                  <w:shd w:val="clear" w:color="auto" w:fill="FFFFFF"/>
                  <w:tcMar>
                    <w:top w:w="75" w:type="dxa"/>
                    <w:left w:w="75" w:type="dxa"/>
                    <w:bottom w:w="75" w:type="dxa"/>
                    <w:right w:w="75" w:type="dxa"/>
                  </w:tcMar>
                  <w:hideMark/>
                </w:tcPr>
                <w:p w:rsidR="003C6244" w:rsidRPr="003C6244" w:rsidRDefault="003C6244" w:rsidP="003C6244">
                  <w:pPr>
                    <w:spacing w:before="100" w:beforeAutospacing="1" w:after="240" w:line="240" w:lineRule="auto"/>
                    <w:rPr>
                      <w:rFonts w:ascii="Arial" w:eastAsia="Times New Roman" w:hAnsi="Arial" w:cs="Arial"/>
                      <w:sz w:val="20"/>
                      <w:szCs w:val="20"/>
                      <w:lang w:eastAsia="en-GB"/>
                    </w:rPr>
                  </w:pPr>
                  <w:r w:rsidRPr="003C6244">
                    <w:rPr>
                      <w:rFonts w:ascii="Arial" w:eastAsia="Times New Roman" w:hAnsi="Arial" w:cs="Arial"/>
                      <w:sz w:val="20"/>
                      <w:szCs w:val="20"/>
                      <w:lang w:eastAsia="en-GB"/>
                    </w:rPr>
                    <w:lastRenderedPageBreak/>
                    <w:t>Prof. Steve Field</w:t>
                  </w:r>
                </w:p>
                <w:p w:rsidR="003C6244" w:rsidRPr="003C6244" w:rsidRDefault="003C6244" w:rsidP="003C6244">
                  <w:pPr>
                    <w:spacing w:before="100" w:beforeAutospacing="1" w:after="240" w:line="240" w:lineRule="auto"/>
                    <w:rPr>
                      <w:rFonts w:ascii="Arial" w:eastAsia="Times New Roman" w:hAnsi="Arial" w:cs="Arial"/>
                      <w:sz w:val="20"/>
                      <w:szCs w:val="20"/>
                      <w:lang w:eastAsia="en-GB"/>
                    </w:rPr>
                  </w:pPr>
                  <w:r w:rsidRPr="003C6244">
                    <w:rPr>
                      <w:rFonts w:ascii="Arial" w:eastAsia="Times New Roman" w:hAnsi="Arial" w:cs="Arial"/>
                      <w:sz w:val="20"/>
                      <w:szCs w:val="20"/>
                      <w:lang w:eastAsia="en-GB"/>
                    </w:rPr>
                    <w:t>Chief Inspector of General Practice</w:t>
                  </w:r>
                </w:p>
                <w:p w:rsidR="003C6244" w:rsidRPr="003C6244" w:rsidRDefault="003C6244" w:rsidP="003C6244">
                  <w:pPr>
                    <w:spacing w:before="100" w:beforeAutospacing="1" w:after="240" w:line="240" w:lineRule="auto"/>
                    <w:rPr>
                      <w:rFonts w:ascii="Arial" w:eastAsia="Times New Roman" w:hAnsi="Arial" w:cs="Arial"/>
                      <w:sz w:val="20"/>
                      <w:szCs w:val="20"/>
                      <w:lang w:eastAsia="en-GB"/>
                    </w:rPr>
                  </w:pPr>
                  <w:r w:rsidRPr="003C6244">
                    <w:rPr>
                      <w:rFonts w:ascii="Arial" w:eastAsia="Times New Roman" w:hAnsi="Arial" w:cs="Arial"/>
                      <w:sz w:val="20"/>
                      <w:szCs w:val="20"/>
                      <w:lang w:eastAsia="en-GB"/>
                    </w:rPr>
                    <w:t>                                              </w:t>
                  </w:r>
                </w:p>
              </w:tc>
            </w:tr>
          </w:tbl>
          <w:p w:rsidR="003C6244" w:rsidRPr="003C6244" w:rsidRDefault="003C6244" w:rsidP="003C6244">
            <w:pPr>
              <w:spacing w:after="0" w:line="240" w:lineRule="auto"/>
              <w:jc w:val="center"/>
              <w:rPr>
                <w:rFonts w:ascii="Times New Roman" w:eastAsia="Times New Roman" w:hAnsi="Times New Roman" w:cs="Times New Roman"/>
                <w:sz w:val="24"/>
                <w:szCs w:val="24"/>
                <w:lang w:eastAsia="en-GB"/>
              </w:rPr>
            </w:pPr>
          </w:p>
        </w:tc>
      </w:tr>
    </w:tbl>
    <w:p w:rsidR="000C6C61" w:rsidRDefault="00B95F87"/>
    <w:sectPr w:rsidR="000C6C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44"/>
    <w:rsid w:val="00346C21"/>
    <w:rsid w:val="003C6244"/>
    <w:rsid w:val="00880CB9"/>
    <w:rsid w:val="00B95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79588-764D-4DE3-9492-77EFBC35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701604">
      <w:bodyDiv w:val="1"/>
      <w:marLeft w:val="0"/>
      <w:marRight w:val="0"/>
      <w:marTop w:val="0"/>
      <w:marBottom w:val="0"/>
      <w:divBdr>
        <w:top w:val="none" w:sz="0" w:space="0" w:color="auto"/>
        <w:left w:val="none" w:sz="0" w:space="0" w:color="auto"/>
        <w:bottom w:val="none" w:sz="0" w:space="0" w:color="auto"/>
        <w:right w:val="none" w:sz="0" w:space="0" w:color="auto"/>
      </w:divBdr>
      <w:divsChild>
        <w:div w:id="368606783">
          <w:marLeft w:val="0"/>
          <w:marRight w:val="0"/>
          <w:marTop w:val="0"/>
          <w:marBottom w:val="0"/>
          <w:divBdr>
            <w:top w:val="none" w:sz="0" w:space="0" w:color="auto"/>
            <w:left w:val="none" w:sz="0" w:space="0" w:color="auto"/>
            <w:bottom w:val="none" w:sz="0" w:space="0" w:color="auto"/>
            <w:right w:val="none" w:sz="0" w:space="0" w:color="auto"/>
          </w:divBdr>
          <w:divsChild>
            <w:div w:id="1787892891">
              <w:marLeft w:val="0"/>
              <w:marRight w:val="0"/>
              <w:marTop w:val="0"/>
              <w:marBottom w:val="0"/>
              <w:divBdr>
                <w:top w:val="none" w:sz="0" w:space="0" w:color="auto"/>
                <w:left w:val="none" w:sz="0" w:space="0" w:color="auto"/>
                <w:bottom w:val="none" w:sz="0" w:space="0" w:color="auto"/>
                <w:right w:val="none" w:sz="0" w:space="0" w:color="auto"/>
              </w:divBdr>
              <w:divsChild>
                <w:div w:id="1747416065">
                  <w:marLeft w:val="0"/>
                  <w:marRight w:val="0"/>
                  <w:marTop w:val="0"/>
                  <w:marBottom w:val="0"/>
                  <w:divBdr>
                    <w:top w:val="none" w:sz="0" w:space="0" w:color="auto"/>
                    <w:left w:val="none" w:sz="0" w:space="0" w:color="auto"/>
                    <w:bottom w:val="none" w:sz="0" w:space="0" w:color="auto"/>
                    <w:right w:val="none" w:sz="0" w:space="0" w:color="auto"/>
                  </w:divBdr>
                  <w:divsChild>
                    <w:div w:id="121577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qc.org.uk/guidance-providers/gps/how-we-monitor-gp-pract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qc.org.uk/guidance-providers/gp-services/monitoring-gp-practices-questions-provider-information-collection" TargetMode="External"/><Relationship Id="rId5" Type="http://schemas.openxmlformats.org/officeDocument/2006/relationships/hyperlink" Target="https://www.cqc.org.uk/about-us/our-strategy-plans/our-strategy-2016-2021"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Bathe, David</dc:creator>
  <cp:keywords/>
  <dc:description/>
  <cp:lastModifiedBy>Bevis, Jennifer</cp:lastModifiedBy>
  <cp:revision>2</cp:revision>
  <dcterms:created xsi:type="dcterms:W3CDTF">2019-03-13T09:56:00Z</dcterms:created>
  <dcterms:modified xsi:type="dcterms:W3CDTF">2019-03-13T09:56:00Z</dcterms:modified>
</cp:coreProperties>
</file>