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A5" w:rsidRDefault="00A05727" w:rsidP="003F67A5">
      <w:pPr>
        <w:ind w:left="3600" w:firstLine="720"/>
        <w:jc w:val="center"/>
        <w:rPr>
          <w:u w:val="single"/>
        </w:rPr>
      </w:pPr>
      <w:r>
        <w:rPr>
          <w:b/>
          <w:noProof/>
          <w:sz w:val="40"/>
          <w:lang w:eastAsia="en-GB"/>
        </w:rPr>
        <w:drawing>
          <wp:inline distT="0" distB="0" distL="0" distR="0" wp14:anchorId="37B53997" wp14:editId="3E6F3683">
            <wp:extent cx="2990850" cy="476250"/>
            <wp:effectExtent l="0" t="0" r="0" b="0"/>
            <wp:docPr id="1" name="Picture 1" descr="Description: 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D96" w:rsidRPr="003F67A5" w:rsidRDefault="008F0629" w:rsidP="003F67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Thrombocytosis</w:t>
      </w:r>
    </w:p>
    <w:p w:rsidR="00B32C45" w:rsidRDefault="00B32C45" w:rsidP="00B32C45">
      <w:pPr>
        <w:rPr>
          <w:b/>
          <w:sz w:val="28"/>
          <w:szCs w:val="28"/>
        </w:rPr>
      </w:pPr>
      <w:r w:rsidRPr="003F67A5">
        <w:rPr>
          <w:b/>
          <w:sz w:val="28"/>
          <w:szCs w:val="28"/>
        </w:rPr>
        <w:t>Presentation</w:t>
      </w:r>
    </w:p>
    <w:p w:rsidR="00B32C45" w:rsidRPr="008F0629" w:rsidRDefault="00B32C45" w:rsidP="00B32C45">
      <w:pPr>
        <w:rPr>
          <w:sz w:val="24"/>
          <w:u w:val="single"/>
        </w:rPr>
      </w:pPr>
      <w:r>
        <w:rPr>
          <w:u w:val="single"/>
        </w:rPr>
        <w:t>Definition</w:t>
      </w:r>
    </w:p>
    <w:p w:rsidR="008F0629" w:rsidRDefault="008F0629" w:rsidP="00B32C45">
      <w:r>
        <w:t>Platelet count &gt;450 x 10</w:t>
      </w:r>
      <w:r w:rsidRPr="008F0629">
        <w:rPr>
          <w:vertAlign w:val="superscript"/>
        </w:rPr>
        <w:t>9</w:t>
      </w:r>
      <w:r>
        <w:t>/L</w:t>
      </w:r>
    </w:p>
    <w:p w:rsidR="00B32C45" w:rsidRDefault="00B32C45" w:rsidP="00D85FEF">
      <w:r w:rsidRPr="00131E61">
        <w:rPr>
          <w:b/>
          <w:sz w:val="28"/>
          <w:szCs w:val="28"/>
        </w:rPr>
        <w:t>Causes</w:t>
      </w:r>
      <w:r>
        <w:t xml:space="preserve"> </w:t>
      </w:r>
    </w:p>
    <w:p w:rsidR="00F67C26" w:rsidRPr="00CC5B68" w:rsidRDefault="00F67C26" w:rsidP="00CC5B68">
      <w:pPr>
        <w:pStyle w:val="ListParagraph"/>
        <w:numPr>
          <w:ilvl w:val="0"/>
          <w:numId w:val="23"/>
        </w:numPr>
      </w:pPr>
      <w:r>
        <w:t>Thrombocytosis may be due to a primary bone marrow condition or a secondary reactive cause.</w:t>
      </w:r>
    </w:p>
    <w:p w:rsidR="00CC5B68" w:rsidRPr="00CC5B68" w:rsidRDefault="00CC5B68" w:rsidP="00CC5B68">
      <w:pPr>
        <w:pStyle w:val="ListParagraph"/>
        <w:numPr>
          <w:ilvl w:val="0"/>
          <w:numId w:val="23"/>
        </w:numPr>
      </w:pPr>
      <w:r>
        <w:t>Rarely c</w:t>
      </w:r>
      <w:r w:rsidRPr="00CC5B68">
        <w:t>ell fragments or bacteria may cause a spurious increase in the platelet count. This may occur in severe burns, red cell fragmentation syndromes, bacterial infection, cryoglobulinemia or malignancy.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B32C45" w:rsidTr="00CB65C2">
        <w:tc>
          <w:tcPr>
            <w:tcW w:w="2802" w:type="dxa"/>
          </w:tcPr>
          <w:p w:rsidR="00B32C45" w:rsidRDefault="00F67C26" w:rsidP="00CB65C2">
            <w:r>
              <w:t xml:space="preserve">Primary </w:t>
            </w:r>
          </w:p>
        </w:tc>
        <w:tc>
          <w:tcPr>
            <w:tcW w:w="6440" w:type="dxa"/>
          </w:tcPr>
          <w:p w:rsidR="00B32C45" w:rsidRDefault="00F67C26" w:rsidP="00D85FEF">
            <w:r>
              <w:t>Myeloproliferative Neoplasm (MPN)</w:t>
            </w:r>
          </w:p>
          <w:p w:rsidR="00F67C26" w:rsidRDefault="00F67C26" w:rsidP="00F67C26">
            <w:pPr>
              <w:pStyle w:val="ListParagraph"/>
              <w:numPr>
                <w:ilvl w:val="0"/>
                <w:numId w:val="16"/>
              </w:numPr>
            </w:pPr>
            <w:r>
              <w:t>Essential thrombocythaemia (ET)</w:t>
            </w:r>
          </w:p>
          <w:p w:rsidR="00F67C26" w:rsidRDefault="00F67C26" w:rsidP="00F67C26">
            <w:pPr>
              <w:pStyle w:val="ListParagraph"/>
              <w:numPr>
                <w:ilvl w:val="0"/>
                <w:numId w:val="16"/>
              </w:numPr>
            </w:pPr>
            <w:r>
              <w:t>Polycythaemia vera (PV)</w:t>
            </w:r>
          </w:p>
          <w:p w:rsidR="00F67C26" w:rsidRDefault="00F67C26" w:rsidP="00F67C26">
            <w:pPr>
              <w:pStyle w:val="ListParagraph"/>
              <w:numPr>
                <w:ilvl w:val="0"/>
                <w:numId w:val="16"/>
              </w:numPr>
            </w:pPr>
            <w:r>
              <w:t>Primary myelofibrosis (PMF)</w:t>
            </w:r>
          </w:p>
          <w:p w:rsidR="00F67C26" w:rsidRDefault="00F67C26" w:rsidP="00F67C26">
            <w:pPr>
              <w:pStyle w:val="ListParagraph"/>
              <w:numPr>
                <w:ilvl w:val="0"/>
                <w:numId w:val="16"/>
              </w:numPr>
            </w:pPr>
            <w:r>
              <w:t>Chronic myeloid leukaemia (CML)</w:t>
            </w:r>
          </w:p>
          <w:p w:rsidR="00F67C26" w:rsidRDefault="00F67C26" w:rsidP="00F67C26">
            <w:r>
              <w:t>Myelodysplasia syndrome  (MDS) with del5q</w:t>
            </w:r>
          </w:p>
          <w:p w:rsidR="00F67C26" w:rsidRDefault="00F67C26" w:rsidP="00F67C26">
            <w:r>
              <w:t>MDS/MPN overlap syndromes</w:t>
            </w:r>
          </w:p>
          <w:p w:rsidR="00F67C26" w:rsidRDefault="00F67C26" w:rsidP="00F67C26">
            <w:pPr>
              <w:pStyle w:val="ListParagraph"/>
              <w:numPr>
                <w:ilvl w:val="0"/>
                <w:numId w:val="17"/>
              </w:numPr>
            </w:pPr>
            <w:r>
              <w:t>Chronic myelomonocytic leukaemia (CMML)</w:t>
            </w:r>
          </w:p>
          <w:p w:rsidR="00F67C26" w:rsidRDefault="00F67C26" w:rsidP="00F67C26">
            <w:pPr>
              <w:pStyle w:val="ListParagraph"/>
              <w:numPr>
                <w:ilvl w:val="0"/>
                <w:numId w:val="17"/>
              </w:numPr>
            </w:pPr>
            <w:r>
              <w:t>RARS-T</w:t>
            </w:r>
          </w:p>
          <w:p w:rsidR="00F67C26" w:rsidRDefault="00F67C26" w:rsidP="00F67C26">
            <w:pPr>
              <w:pStyle w:val="ListParagraph"/>
              <w:numPr>
                <w:ilvl w:val="0"/>
                <w:numId w:val="17"/>
              </w:numPr>
            </w:pPr>
            <w:r>
              <w:t>MDS/MPN-U</w:t>
            </w:r>
          </w:p>
        </w:tc>
      </w:tr>
      <w:tr w:rsidR="00B32C45" w:rsidTr="00CB65C2">
        <w:tc>
          <w:tcPr>
            <w:tcW w:w="2802" w:type="dxa"/>
          </w:tcPr>
          <w:p w:rsidR="00B32C45" w:rsidRDefault="00F67C26" w:rsidP="00CB65C2">
            <w:r>
              <w:t>Secondary</w:t>
            </w:r>
          </w:p>
        </w:tc>
        <w:tc>
          <w:tcPr>
            <w:tcW w:w="6440" w:type="dxa"/>
          </w:tcPr>
          <w:p w:rsidR="00B32C45" w:rsidRDefault="00F67C26" w:rsidP="00F67C26">
            <w:pPr>
              <w:pStyle w:val="ListParagraph"/>
              <w:numPr>
                <w:ilvl w:val="0"/>
                <w:numId w:val="18"/>
              </w:numPr>
            </w:pPr>
            <w:r>
              <w:t>Haemorrhage</w:t>
            </w:r>
          </w:p>
          <w:p w:rsidR="00F67C26" w:rsidRDefault="00F67C26" w:rsidP="00F67C26">
            <w:pPr>
              <w:pStyle w:val="ListParagraph"/>
              <w:numPr>
                <w:ilvl w:val="0"/>
                <w:numId w:val="18"/>
              </w:numPr>
            </w:pPr>
            <w:r>
              <w:t>Inflammation and infection</w:t>
            </w:r>
          </w:p>
          <w:p w:rsidR="00F67C26" w:rsidRDefault="00F67C26" w:rsidP="00F67C26">
            <w:pPr>
              <w:pStyle w:val="ListParagraph"/>
              <w:numPr>
                <w:ilvl w:val="0"/>
                <w:numId w:val="18"/>
              </w:numPr>
            </w:pPr>
            <w:r>
              <w:t>Iron deficiency</w:t>
            </w:r>
          </w:p>
          <w:p w:rsidR="00F67C26" w:rsidRDefault="00F67C26" w:rsidP="00F67C26">
            <w:pPr>
              <w:pStyle w:val="ListParagraph"/>
              <w:numPr>
                <w:ilvl w:val="0"/>
                <w:numId w:val="18"/>
              </w:numPr>
            </w:pPr>
            <w:r>
              <w:t>Acute haemolytic anaemia</w:t>
            </w:r>
          </w:p>
          <w:p w:rsidR="00F67C26" w:rsidRDefault="00F67C26" w:rsidP="00F67C26">
            <w:pPr>
              <w:pStyle w:val="ListParagraph"/>
              <w:numPr>
                <w:ilvl w:val="0"/>
                <w:numId w:val="18"/>
              </w:numPr>
            </w:pPr>
            <w:r>
              <w:t>Malignancy</w:t>
            </w:r>
          </w:p>
          <w:p w:rsidR="00F67C26" w:rsidRDefault="00F67C26" w:rsidP="00F67C26">
            <w:pPr>
              <w:pStyle w:val="ListParagraph"/>
              <w:numPr>
                <w:ilvl w:val="0"/>
                <w:numId w:val="18"/>
              </w:numPr>
            </w:pPr>
            <w:r>
              <w:t>Hyposplenism</w:t>
            </w:r>
          </w:p>
          <w:p w:rsidR="00F67C26" w:rsidRDefault="00F67C26" w:rsidP="00F67C26">
            <w:pPr>
              <w:pStyle w:val="ListParagraph"/>
              <w:numPr>
                <w:ilvl w:val="0"/>
                <w:numId w:val="18"/>
              </w:numPr>
            </w:pPr>
            <w:r>
              <w:t>Stress e.g. burns, MI</w:t>
            </w:r>
          </w:p>
          <w:p w:rsidR="00F67C26" w:rsidRDefault="00F67C26" w:rsidP="00D85FEF">
            <w:pPr>
              <w:pStyle w:val="ListParagraph"/>
              <w:numPr>
                <w:ilvl w:val="0"/>
                <w:numId w:val="18"/>
              </w:numPr>
            </w:pPr>
            <w:r>
              <w:t>Iatrogenic  e.g. corticosteroids, adrenaline, TPO agonists</w:t>
            </w:r>
          </w:p>
        </w:tc>
      </w:tr>
      <w:tr w:rsidR="00B32C45" w:rsidTr="00CB65C2">
        <w:tc>
          <w:tcPr>
            <w:tcW w:w="2802" w:type="dxa"/>
          </w:tcPr>
          <w:p w:rsidR="00B32C45" w:rsidRDefault="00F67C26" w:rsidP="00CB65C2">
            <w:r>
              <w:t>Spurious (rare)</w:t>
            </w:r>
          </w:p>
        </w:tc>
        <w:tc>
          <w:tcPr>
            <w:tcW w:w="6440" w:type="dxa"/>
          </w:tcPr>
          <w:p w:rsidR="00B32C45" w:rsidRDefault="00A1473E" w:rsidP="00D85FEF">
            <w:r>
              <w:t>The blood film should exclude these causes</w:t>
            </w:r>
          </w:p>
        </w:tc>
      </w:tr>
    </w:tbl>
    <w:p w:rsidR="00B32C45" w:rsidRDefault="00B32C45" w:rsidP="00B32C45">
      <w:pPr>
        <w:rPr>
          <w:b/>
          <w:sz w:val="28"/>
          <w:szCs w:val="28"/>
          <w:u w:val="single"/>
        </w:rPr>
      </w:pPr>
    </w:p>
    <w:p w:rsidR="008B7C12" w:rsidRDefault="008B7C12" w:rsidP="00B32C45">
      <w:pPr>
        <w:rPr>
          <w:b/>
          <w:sz w:val="28"/>
          <w:szCs w:val="28"/>
        </w:rPr>
      </w:pPr>
      <w:r w:rsidRPr="008B7C12">
        <w:rPr>
          <w:b/>
          <w:sz w:val="28"/>
          <w:szCs w:val="28"/>
        </w:rPr>
        <w:t>Essential thrombocythaemia</w:t>
      </w:r>
    </w:p>
    <w:p w:rsidR="008B7C12" w:rsidRDefault="008B7C12" w:rsidP="008B7C12">
      <w:pPr>
        <w:pStyle w:val="ListParagraph"/>
        <w:numPr>
          <w:ilvl w:val="0"/>
          <w:numId w:val="21"/>
        </w:numPr>
      </w:pPr>
      <w:r>
        <w:t>Clonal bon</w:t>
      </w:r>
      <w:r w:rsidR="00A573FC">
        <w:t>e marrow disorder with around 60</w:t>
      </w:r>
      <w:r>
        <w:t xml:space="preserve">% of cases positive for the mutation in the JAK2 gene (V617F in exon 14), </w:t>
      </w:r>
      <w:r w:rsidR="00A573FC">
        <w:t>5% MPL (W515K in exon 12) and 25</w:t>
      </w:r>
      <w:r>
        <w:t xml:space="preserve">% CAL-R positive. </w:t>
      </w:r>
    </w:p>
    <w:p w:rsidR="008B7C12" w:rsidRDefault="008B7C12" w:rsidP="008B7C12">
      <w:pPr>
        <w:pStyle w:val="ListParagraph"/>
        <w:numPr>
          <w:ilvl w:val="0"/>
          <w:numId w:val="21"/>
        </w:numPr>
      </w:pPr>
      <w:r>
        <w:t xml:space="preserve">Can be </w:t>
      </w:r>
      <w:r w:rsidR="008A1F31">
        <w:t>asymptomatic</w:t>
      </w:r>
      <w:r>
        <w:t xml:space="preserve"> or manifest with thrombosis (including unusual sites), bleeding, </w:t>
      </w:r>
      <w:proofErr w:type="gramStart"/>
      <w:r>
        <w:t>weight</w:t>
      </w:r>
      <w:proofErr w:type="gramEnd"/>
      <w:r>
        <w:t xml:space="preserve"> loss and sweats, erythromelalgia and aquagenic </w:t>
      </w:r>
      <w:r w:rsidR="008A1F31">
        <w:t>pruritus</w:t>
      </w:r>
      <w:r>
        <w:t>.</w:t>
      </w:r>
    </w:p>
    <w:p w:rsidR="008B7C12" w:rsidRDefault="008B7C12" w:rsidP="008B7C12">
      <w:pPr>
        <w:pStyle w:val="ListParagraph"/>
        <w:numPr>
          <w:ilvl w:val="0"/>
          <w:numId w:val="21"/>
        </w:numPr>
      </w:pPr>
      <w:r>
        <w:lastRenderedPageBreak/>
        <w:t xml:space="preserve">Treatment is based on risk stratification of thrombosis. Pharmacological cytoreduction and antiplatelet drugs used to reduce thrombotic risk. </w:t>
      </w:r>
    </w:p>
    <w:p w:rsidR="008B7C12" w:rsidRPr="008B7C12" w:rsidRDefault="008B7C12" w:rsidP="008B7C12">
      <w:pPr>
        <w:pStyle w:val="ListParagraph"/>
        <w:numPr>
          <w:ilvl w:val="0"/>
          <w:numId w:val="21"/>
        </w:numPr>
      </w:pPr>
      <w:r>
        <w:t>There is a risk of progression to myelofibrosis or transformation to AML.</w:t>
      </w:r>
    </w:p>
    <w:p w:rsidR="007B1F34" w:rsidRPr="008B7C12" w:rsidRDefault="007B1F34" w:rsidP="007B1F34">
      <w:pPr>
        <w:rPr>
          <w:b/>
          <w:sz w:val="28"/>
          <w:szCs w:val="28"/>
        </w:rPr>
      </w:pPr>
      <w:r w:rsidRPr="008B7C12">
        <w:rPr>
          <w:b/>
          <w:sz w:val="28"/>
          <w:szCs w:val="28"/>
        </w:rPr>
        <w:t>History</w:t>
      </w:r>
    </w:p>
    <w:p w:rsidR="009827A7" w:rsidRDefault="009827A7" w:rsidP="00F67C26">
      <w:pPr>
        <w:pStyle w:val="ListParagraph"/>
        <w:numPr>
          <w:ilvl w:val="0"/>
          <w:numId w:val="19"/>
        </w:numPr>
        <w:spacing w:after="0"/>
      </w:pPr>
      <w:r>
        <w:t>P</w:t>
      </w:r>
      <w:r w:rsidR="00F67C26">
        <w:t>ast medical history including history of thrombosis and splenectomy. Assess cardiovascular risk factors.</w:t>
      </w:r>
    </w:p>
    <w:p w:rsidR="00F67C26" w:rsidRDefault="009827A7" w:rsidP="00F67C26">
      <w:pPr>
        <w:pStyle w:val="ListParagraph"/>
        <w:numPr>
          <w:ilvl w:val="0"/>
          <w:numId w:val="19"/>
        </w:numPr>
        <w:spacing w:after="0"/>
      </w:pPr>
      <w:r>
        <w:t>L</w:t>
      </w:r>
      <w:r w:rsidR="00F67C26">
        <w:t>ook for causes of reactive thrombocytosis.</w:t>
      </w:r>
    </w:p>
    <w:p w:rsidR="00F67C26" w:rsidRDefault="00F67C26" w:rsidP="00F67C26">
      <w:pPr>
        <w:spacing w:after="0"/>
      </w:pPr>
    </w:p>
    <w:p w:rsidR="007B1F34" w:rsidRPr="00E97AE3" w:rsidRDefault="007B1F34" w:rsidP="007B1F34">
      <w:pPr>
        <w:rPr>
          <w:b/>
          <w:sz w:val="28"/>
          <w:szCs w:val="28"/>
        </w:rPr>
      </w:pPr>
      <w:r w:rsidRPr="00E97AE3">
        <w:rPr>
          <w:b/>
          <w:sz w:val="28"/>
          <w:szCs w:val="28"/>
        </w:rPr>
        <w:t>Symptoms and Signs</w:t>
      </w:r>
    </w:p>
    <w:p w:rsidR="009827A7" w:rsidRDefault="008B7C12" w:rsidP="009827A7">
      <w:pPr>
        <w:pStyle w:val="ListParagraph"/>
        <w:numPr>
          <w:ilvl w:val="0"/>
          <w:numId w:val="20"/>
        </w:numPr>
        <w:spacing w:after="0"/>
      </w:pPr>
      <w:r>
        <w:t>T</w:t>
      </w:r>
      <w:r w:rsidR="009827A7">
        <w:t xml:space="preserve">hrombosis or bleed (platelet count &gt;1000-1500 can interact with von </w:t>
      </w:r>
      <w:proofErr w:type="spellStart"/>
      <w:r w:rsidR="009827A7">
        <w:t>Willebrand</w:t>
      </w:r>
      <w:proofErr w:type="spellEnd"/>
      <w:r w:rsidR="009827A7">
        <w:t xml:space="preserve"> factor and lead to bleeds)</w:t>
      </w:r>
    </w:p>
    <w:p w:rsidR="009827A7" w:rsidRDefault="009827A7" w:rsidP="009827A7">
      <w:pPr>
        <w:pStyle w:val="ListParagraph"/>
        <w:numPr>
          <w:ilvl w:val="0"/>
          <w:numId w:val="20"/>
        </w:numPr>
        <w:spacing w:after="0"/>
      </w:pPr>
      <w:r>
        <w:t>Systemic symptoms including weight loss, sweats, erythromelalgia and aquagenic pruritus.</w:t>
      </w:r>
    </w:p>
    <w:p w:rsidR="008B7C12" w:rsidRDefault="008B7C12" w:rsidP="008B7C12">
      <w:pPr>
        <w:pStyle w:val="ListParagraph"/>
        <w:numPr>
          <w:ilvl w:val="0"/>
          <w:numId w:val="20"/>
        </w:numPr>
        <w:spacing w:after="0"/>
      </w:pPr>
      <w:r>
        <w:t>Hepatosplenomegaly</w:t>
      </w:r>
    </w:p>
    <w:p w:rsidR="008B7C12" w:rsidRDefault="008B7C12" w:rsidP="008B7C12">
      <w:pPr>
        <w:pStyle w:val="ListParagraph"/>
        <w:numPr>
          <w:ilvl w:val="0"/>
          <w:numId w:val="20"/>
        </w:numPr>
        <w:spacing w:after="0"/>
      </w:pPr>
      <w:r>
        <w:t>Lymphadenopathy / mass suggestive of malignancy</w:t>
      </w:r>
    </w:p>
    <w:p w:rsidR="007B1F34" w:rsidRDefault="007B1F34" w:rsidP="007B1F34">
      <w:pPr>
        <w:rPr>
          <w:b/>
          <w:sz w:val="28"/>
          <w:szCs w:val="28"/>
        </w:rPr>
      </w:pPr>
    </w:p>
    <w:p w:rsidR="007B1F34" w:rsidRDefault="007B1F34" w:rsidP="007B1F34">
      <w:pPr>
        <w:rPr>
          <w:b/>
          <w:sz w:val="28"/>
          <w:szCs w:val="28"/>
        </w:rPr>
      </w:pPr>
      <w:r w:rsidRPr="00A222AA">
        <w:rPr>
          <w:b/>
          <w:sz w:val="28"/>
          <w:szCs w:val="28"/>
        </w:rPr>
        <w:t>Investigations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B1F34" w:rsidTr="00CB65C2">
        <w:tc>
          <w:tcPr>
            <w:tcW w:w="4621" w:type="dxa"/>
          </w:tcPr>
          <w:p w:rsidR="007B1F34" w:rsidRDefault="007B1F34" w:rsidP="00CB65C2">
            <w:r w:rsidRPr="00E56F53">
              <w:t>Investigations in primary care should include</w:t>
            </w:r>
          </w:p>
        </w:tc>
        <w:tc>
          <w:tcPr>
            <w:tcW w:w="4621" w:type="dxa"/>
          </w:tcPr>
          <w:p w:rsidR="007B1F34" w:rsidRDefault="007B1F34" w:rsidP="00D0471B">
            <w:r w:rsidRPr="00E56F53">
              <w:t>Investigations to consider in primary care</w:t>
            </w:r>
          </w:p>
        </w:tc>
      </w:tr>
      <w:tr w:rsidR="007B1F34" w:rsidTr="00CB65C2">
        <w:trPr>
          <w:trHeight w:val="277"/>
        </w:trPr>
        <w:tc>
          <w:tcPr>
            <w:tcW w:w="4621" w:type="dxa"/>
          </w:tcPr>
          <w:p w:rsidR="007B1F34" w:rsidRDefault="00A573FC" w:rsidP="00CB65C2">
            <w:r>
              <w:t>Ferritin (</w:t>
            </w:r>
            <w:r w:rsidR="00D0471B">
              <w:t xml:space="preserve"> iron studies</w:t>
            </w:r>
            <w:r>
              <w:t>)</w:t>
            </w:r>
          </w:p>
        </w:tc>
        <w:tc>
          <w:tcPr>
            <w:tcW w:w="4621" w:type="dxa"/>
          </w:tcPr>
          <w:p w:rsidR="007B1F34" w:rsidRDefault="00D0471B" w:rsidP="0029683B">
            <w:r>
              <w:t>JAK2 (testing includes CAL-R / MPL): a negative result does not exclude a myeloproliferative neoplasm</w:t>
            </w:r>
            <w:r w:rsidR="00A573FC">
              <w:t xml:space="preserve"> (10-15% negative with essential thrombocytosis).</w:t>
            </w:r>
          </w:p>
        </w:tc>
      </w:tr>
      <w:tr w:rsidR="007B1F34" w:rsidTr="00CB65C2">
        <w:tc>
          <w:tcPr>
            <w:tcW w:w="4621" w:type="dxa"/>
          </w:tcPr>
          <w:p w:rsidR="007B1F34" w:rsidRDefault="00D0471B" w:rsidP="00CB65C2">
            <w:r>
              <w:t>Blood film</w:t>
            </w:r>
          </w:p>
        </w:tc>
        <w:tc>
          <w:tcPr>
            <w:tcW w:w="4621" w:type="dxa"/>
          </w:tcPr>
          <w:p w:rsidR="007B1F34" w:rsidRDefault="007B1F34" w:rsidP="00CB65C2"/>
        </w:tc>
      </w:tr>
      <w:tr w:rsidR="007B1F34" w:rsidTr="00CB65C2">
        <w:tc>
          <w:tcPr>
            <w:tcW w:w="4621" w:type="dxa"/>
          </w:tcPr>
          <w:p w:rsidR="007B1F34" w:rsidRDefault="00D0471B" w:rsidP="00CB65C2">
            <w:r>
              <w:t>CRP</w:t>
            </w:r>
          </w:p>
        </w:tc>
        <w:tc>
          <w:tcPr>
            <w:tcW w:w="4621" w:type="dxa"/>
          </w:tcPr>
          <w:p w:rsidR="007B1F34" w:rsidRDefault="007B1F34" w:rsidP="00CB65C2"/>
        </w:tc>
      </w:tr>
      <w:tr w:rsidR="007B1F34" w:rsidTr="00CB65C2">
        <w:tc>
          <w:tcPr>
            <w:tcW w:w="4621" w:type="dxa"/>
          </w:tcPr>
          <w:p w:rsidR="007B1F34" w:rsidRDefault="00A573FC" w:rsidP="00A573FC">
            <w:r>
              <w:t xml:space="preserve">Repeat FBC. If </w:t>
            </w:r>
            <w:r w:rsidR="00D0471B">
              <w:t>secondary cause found</w:t>
            </w:r>
            <w:r>
              <w:t xml:space="preserve"> repeat when cause has resolved or has </w:t>
            </w:r>
            <w:r w:rsidR="00D0471B">
              <w:t>been treated e.g. if pos</w:t>
            </w:r>
            <w:r>
              <w:t>t operatively repeat in around 8</w:t>
            </w:r>
            <w:r w:rsidR="00D0471B">
              <w:t xml:space="preserve"> weeks.</w:t>
            </w:r>
          </w:p>
        </w:tc>
        <w:tc>
          <w:tcPr>
            <w:tcW w:w="4621" w:type="dxa"/>
          </w:tcPr>
          <w:p w:rsidR="007B1F34" w:rsidRDefault="007B1F34" w:rsidP="00CB65C2"/>
        </w:tc>
      </w:tr>
    </w:tbl>
    <w:p w:rsidR="007B1F34" w:rsidRDefault="007B1F34" w:rsidP="007B1F34"/>
    <w:p w:rsidR="007B1F34" w:rsidRPr="002A2514" w:rsidRDefault="007B1F34" w:rsidP="007B1F34">
      <w:pPr>
        <w:rPr>
          <w:b/>
          <w:sz w:val="28"/>
          <w:szCs w:val="28"/>
        </w:rPr>
      </w:pPr>
      <w:r w:rsidRPr="002A2514">
        <w:rPr>
          <w:b/>
          <w:sz w:val="28"/>
          <w:szCs w:val="28"/>
        </w:rPr>
        <w:t>Referral</w:t>
      </w:r>
    </w:p>
    <w:p w:rsidR="00DF5D0A" w:rsidRDefault="0032467F" w:rsidP="00D0471B">
      <w:pPr>
        <w:pStyle w:val="ListParagraph"/>
        <w:numPr>
          <w:ilvl w:val="0"/>
          <w:numId w:val="22"/>
        </w:numPr>
      </w:pPr>
      <w:r>
        <w:t>If secondary cause found suggest repeat FBC once cause resolved or treated.</w:t>
      </w:r>
    </w:p>
    <w:p w:rsidR="0032467F" w:rsidRDefault="0032467F" w:rsidP="00D0471B">
      <w:pPr>
        <w:pStyle w:val="ListParagraph"/>
        <w:numPr>
          <w:ilvl w:val="0"/>
          <w:numId w:val="22"/>
        </w:numPr>
      </w:pPr>
      <w:r>
        <w:t xml:space="preserve">Features more suspicious of a primary cause include thrombosis, erythromelalgia, aquagenic </w:t>
      </w:r>
      <w:r w:rsidR="008A1F31">
        <w:t>pruritus</w:t>
      </w:r>
      <w:bookmarkStart w:id="0" w:name="_GoBack"/>
      <w:bookmarkEnd w:id="0"/>
      <w:r>
        <w:t>, splenomegaly, weight loss or sweats, platelets &gt;1000 x 10</w:t>
      </w:r>
      <w:r w:rsidRPr="008F0629">
        <w:rPr>
          <w:vertAlign w:val="superscript"/>
        </w:rPr>
        <w:t>9</w:t>
      </w:r>
      <w:r>
        <w:t>/L.</w:t>
      </w:r>
    </w:p>
    <w:p w:rsidR="0032467F" w:rsidRDefault="0032467F" w:rsidP="00D0471B">
      <w:pPr>
        <w:pStyle w:val="ListParagraph"/>
        <w:numPr>
          <w:ilvl w:val="0"/>
          <w:numId w:val="22"/>
        </w:numPr>
      </w:pPr>
      <w:r>
        <w:t>If persistent thrombocytosis despite secondary causes excluded or suspicious of primary bone marrow aetiology suggest referral to clinical haematology.</w:t>
      </w:r>
    </w:p>
    <w:p w:rsidR="00F30F84" w:rsidRPr="00F30F84" w:rsidRDefault="00F30F84" w:rsidP="00F30F84">
      <w:pPr>
        <w:rPr>
          <w:b/>
          <w:sz w:val="28"/>
          <w:szCs w:val="28"/>
        </w:rPr>
      </w:pPr>
      <w:r w:rsidRPr="00F30F84">
        <w:rPr>
          <w:b/>
          <w:sz w:val="28"/>
          <w:szCs w:val="28"/>
        </w:rPr>
        <w:t>References</w:t>
      </w:r>
    </w:p>
    <w:p w:rsidR="00DF5D0A" w:rsidRPr="00A573FC" w:rsidRDefault="00A573FC" w:rsidP="007852CF">
      <w:pPr>
        <w:rPr>
          <w:sz w:val="18"/>
          <w:szCs w:val="18"/>
        </w:rPr>
      </w:pPr>
      <w:r w:rsidRPr="00A573FC">
        <w:rPr>
          <w:sz w:val="18"/>
          <w:szCs w:val="18"/>
        </w:rPr>
        <w:t xml:space="preserve">Br J. Haematology. 2015 Nov; 171(3): 306-21. How we diagnose and treat essential thrombocytopenia. </w:t>
      </w:r>
      <w:proofErr w:type="spellStart"/>
      <w:r w:rsidRPr="00A573FC">
        <w:rPr>
          <w:sz w:val="18"/>
          <w:szCs w:val="18"/>
        </w:rPr>
        <w:t>Alimam</w:t>
      </w:r>
      <w:proofErr w:type="spellEnd"/>
      <w:r w:rsidRPr="00A573FC">
        <w:rPr>
          <w:sz w:val="18"/>
          <w:szCs w:val="18"/>
        </w:rPr>
        <w:t xml:space="preserve"> S. et al.</w:t>
      </w:r>
    </w:p>
    <w:p w:rsidR="00F82594" w:rsidRDefault="00F82594" w:rsidP="007852CF"/>
    <w:p w:rsidR="00F82594" w:rsidRPr="006658FF" w:rsidRDefault="00F82594" w:rsidP="007852CF">
      <w:pPr>
        <w:rPr>
          <w:b/>
          <w:u w:val="single"/>
        </w:rPr>
      </w:pPr>
    </w:p>
    <w:sectPr w:rsidR="00F82594" w:rsidRPr="006658FF" w:rsidSect="00A573FC">
      <w:footerReference w:type="default" r:id="rId10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FEC" w:rsidRDefault="00337FEC" w:rsidP="006658FF">
      <w:pPr>
        <w:spacing w:after="0" w:line="240" w:lineRule="auto"/>
      </w:pPr>
      <w:r>
        <w:separator/>
      </w:r>
    </w:p>
  </w:endnote>
  <w:endnote w:type="continuationSeparator" w:id="0">
    <w:p w:rsidR="00337FEC" w:rsidRDefault="00337FEC" w:rsidP="0066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C" w:rsidRPr="00A573FC" w:rsidRDefault="00A573FC">
    <w:pPr>
      <w:pStyle w:val="Footer"/>
      <w:rPr>
        <w:sz w:val="18"/>
        <w:szCs w:val="18"/>
      </w:rPr>
    </w:pPr>
    <w:r w:rsidRPr="00A573FC">
      <w:rPr>
        <w:sz w:val="18"/>
        <w:szCs w:val="18"/>
      </w:rPr>
      <w:t>Thrombocytosis guidance. Author: Noel Ryman. Version 1. Approved on: 01 March 2017. Review date: 01 March 2021</w:t>
    </w:r>
  </w:p>
  <w:p w:rsidR="00A573FC" w:rsidRDefault="00A573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FEC" w:rsidRDefault="00337FEC" w:rsidP="006658FF">
      <w:pPr>
        <w:spacing w:after="0" w:line="240" w:lineRule="auto"/>
      </w:pPr>
      <w:r>
        <w:separator/>
      </w:r>
    </w:p>
  </w:footnote>
  <w:footnote w:type="continuationSeparator" w:id="0">
    <w:p w:rsidR="00337FEC" w:rsidRDefault="00337FEC" w:rsidP="00665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612"/>
    <w:multiLevelType w:val="hybridMultilevel"/>
    <w:tmpl w:val="2EE68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128A8"/>
    <w:multiLevelType w:val="hybridMultilevel"/>
    <w:tmpl w:val="C2E8F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C1494"/>
    <w:multiLevelType w:val="hybridMultilevel"/>
    <w:tmpl w:val="4E708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A084B"/>
    <w:multiLevelType w:val="hybridMultilevel"/>
    <w:tmpl w:val="8D7C5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64E17"/>
    <w:multiLevelType w:val="hybridMultilevel"/>
    <w:tmpl w:val="381CE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46255"/>
    <w:multiLevelType w:val="hybridMultilevel"/>
    <w:tmpl w:val="647668F0"/>
    <w:lvl w:ilvl="0" w:tplc="EF703D7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1774E"/>
    <w:multiLevelType w:val="hybridMultilevel"/>
    <w:tmpl w:val="79AEA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B5919"/>
    <w:multiLevelType w:val="hybridMultilevel"/>
    <w:tmpl w:val="83BEAC4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8">
    <w:nsid w:val="24BC6720"/>
    <w:multiLevelType w:val="hybridMultilevel"/>
    <w:tmpl w:val="F15E5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63F93"/>
    <w:multiLevelType w:val="hybridMultilevel"/>
    <w:tmpl w:val="626E9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B2C31"/>
    <w:multiLevelType w:val="hybridMultilevel"/>
    <w:tmpl w:val="4104C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360C5"/>
    <w:multiLevelType w:val="hybridMultilevel"/>
    <w:tmpl w:val="C772E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87F45"/>
    <w:multiLevelType w:val="hybridMultilevel"/>
    <w:tmpl w:val="B01CB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108B5"/>
    <w:multiLevelType w:val="hybridMultilevel"/>
    <w:tmpl w:val="83FCE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D37F4"/>
    <w:multiLevelType w:val="hybridMultilevel"/>
    <w:tmpl w:val="67F6B8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43609"/>
    <w:multiLevelType w:val="hybridMultilevel"/>
    <w:tmpl w:val="C0F89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D09A1"/>
    <w:multiLevelType w:val="hybridMultilevel"/>
    <w:tmpl w:val="C1CA0EF2"/>
    <w:lvl w:ilvl="0" w:tplc="9CE48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FF2BFD"/>
    <w:multiLevelType w:val="hybridMultilevel"/>
    <w:tmpl w:val="103AD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16CAE"/>
    <w:multiLevelType w:val="hybridMultilevel"/>
    <w:tmpl w:val="2954E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91B41"/>
    <w:multiLevelType w:val="hybridMultilevel"/>
    <w:tmpl w:val="5A2A6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520B6"/>
    <w:multiLevelType w:val="hybridMultilevel"/>
    <w:tmpl w:val="23607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065A0E"/>
    <w:multiLevelType w:val="hybridMultilevel"/>
    <w:tmpl w:val="3A04F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D36E7"/>
    <w:multiLevelType w:val="hybridMultilevel"/>
    <w:tmpl w:val="F3303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19"/>
  </w:num>
  <w:num w:numId="5">
    <w:abstractNumId w:val="5"/>
  </w:num>
  <w:num w:numId="6">
    <w:abstractNumId w:val="15"/>
  </w:num>
  <w:num w:numId="7">
    <w:abstractNumId w:val="16"/>
  </w:num>
  <w:num w:numId="8">
    <w:abstractNumId w:val="9"/>
  </w:num>
  <w:num w:numId="9">
    <w:abstractNumId w:val="18"/>
  </w:num>
  <w:num w:numId="10">
    <w:abstractNumId w:val="13"/>
  </w:num>
  <w:num w:numId="11">
    <w:abstractNumId w:val="21"/>
  </w:num>
  <w:num w:numId="12">
    <w:abstractNumId w:val="7"/>
  </w:num>
  <w:num w:numId="13">
    <w:abstractNumId w:val="2"/>
  </w:num>
  <w:num w:numId="14">
    <w:abstractNumId w:val="20"/>
  </w:num>
  <w:num w:numId="15">
    <w:abstractNumId w:val="4"/>
  </w:num>
  <w:num w:numId="16">
    <w:abstractNumId w:val="0"/>
  </w:num>
  <w:num w:numId="17">
    <w:abstractNumId w:val="6"/>
  </w:num>
  <w:num w:numId="18">
    <w:abstractNumId w:val="10"/>
  </w:num>
  <w:num w:numId="19">
    <w:abstractNumId w:val="22"/>
  </w:num>
  <w:num w:numId="20">
    <w:abstractNumId w:val="1"/>
  </w:num>
  <w:num w:numId="21">
    <w:abstractNumId w:val="3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27"/>
    <w:rsid w:val="0004394B"/>
    <w:rsid w:val="00131E61"/>
    <w:rsid w:val="00163A1B"/>
    <w:rsid w:val="001A5BAE"/>
    <w:rsid w:val="0029683B"/>
    <w:rsid w:val="002A2514"/>
    <w:rsid w:val="002D4A76"/>
    <w:rsid w:val="0032467F"/>
    <w:rsid w:val="00336654"/>
    <w:rsid w:val="00337FEC"/>
    <w:rsid w:val="00342448"/>
    <w:rsid w:val="003531DC"/>
    <w:rsid w:val="003C01EF"/>
    <w:rsid w:val="003F67A5"/>
    <w:rsid w:val="00445EDF"/>
    <w:rsid w:val="004757A9"/>
    <w:rsid w:val="004D69DE"/>
    <w:rsid w:val="00523785"/>
    <w:rsid w:val="00553515"/>
    <w:rsid w:val="005D342C"/>
    <w:rsid w:val="006008EA"/>
    <w:rsid w:val="006658FF"/>
    <w:rsid w:val="006E4CF4"/>
    <w:rsid w:val="006E68F1"/>
    <w:rsid w:val="006E6DF5"/>
    <w:rsid w:val="00716348"/>
    <w:rsid w:val="00724157"/>
    <w:rsid w:val="007852CF"/>
    <w:rsid w:val="007B1F34"/>
    <w:rsid w:val="007B666A"/>
    <w:rsid w:val="007D36B5"/>
    <w:rsid w:val="00801D60"/>
    <w:rsid w:val="00832185"/>
    <w:rsid w:val="00864BD3"/>
    <w:rsid w:val="00896CA2"/>
    <w:rsid w:val="008A1F31"/>
    <w:rsid w:val="008B7C12"/>
    <w:rsid w:val="008F0629"/>
    <w:rsid w:val="00937D96"/>
    <w:rsid w:val="009827A7"/>
    <w:rsid w:val="00A05727"/>
    <w:rsid w:val="00A1473E"/>
    <w:rsid w:val="00A222AA"/>
    <w:rsid w:val="00A40D92"/>
    <w:rsid w:val="00A573FC"/>
    <w:rsid w:val="00A6021A"/>
    <w:rsid w:val="00A95F47"/>
    <w:rsid w:val="00AC2D9A"/>
    <w:rsid w:val="00B22A75"/>
    <w:rsid w:val="00B32C45"/>
    <w:rsid w:val="00B53E0F"/>
    <w:rsid w:val="00C676B2"/>
    <w:rsid w:val="00CA295B"/>
    <w:rsid w:val="00CC5B68"/>
    <w:rsid w:val="00CE3FE7"/>
    <w:rsid w:val="00D00AA1"/>
    <w:rsid w:val="00D0471B"/>
    <w:rsid w:val="00D85FEF"/>
    <w:rsid w:val="00DF5D0A"/>
    <w:rsid w:val="00E56F53"/>
    <w:rsid w:val="00E97AE3"/>
    <w:rsid w:val="00F30F84"/>
    <w:rsid w:val="00F67C26"/>
    <w:rsid w:val="00F82594"/>
    <w:rsid w:val="00FB5312"/>
    <w:rsid w:val="00FB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348"/>
    <w:pPr>
      <w:ind w:left="720"/>
      <w:contextualSpacing/>
    </w:pPr>
  </w:style>
  <w:style w:type="table" w:styleId="TableGrid">
    <w:name w:val="Table Grid"/>
    <w:basedOn w:val="TableNormal"/>
    <w:uiPriority w:val="59"/>
    <w:rsid w:val="00523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5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8FF"/>
  </w:style>
  <w:style w:type="paragraph" w:styleId="Footer">
    <w:name w:val="footer"/>
    <w:basedOn w:val="Normal"/>
    <w:link w:val="FooterChar"/>
    <w:uiPriority w:val="99"/>
    <w:unhideWhenUsed/>
    <w:rsid w:val="00665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348"/>
    <w:pPr>
      <w:ind w:left="720"/>
      <w:contextualSpacing/>
    </w:pPr>
  </w:style>
  <w:style w:type="table" w:styleId="TableGrid">
    <w:name w:val="Table Grid"/>
    <w:basedOn w:val="TableNormal"/>
    <w:uiPriority w:val="59"/>
    <w:rsid w:val="00523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5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8FF"/>
  </w:style>
  <w:style w:type="paragraph" w:styleId="Footer">
    <w:name w:val="footer"/>
    <w:basedOn w:val="Normal"/>
    <w:link w:val="FooterChar"/>
    <w:uiPriority w:val="99"/>
    <w:unhideWhenUsed/>
    <w:rsid w:val="00665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157D8-4545-4BAE-956C-90AD657E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HHFT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Hudson, Roger</dc:creator>
  <cp:lastModifiedBy>user</cp:lastModifiedBy>
  <cp:revision>3</cp:revision>
  <dcterms:created xsi:type="dcterms:W3CDTF">2018-02-28T11:48:00Z</dcterms:created>
  <dcterms:modified xsi:type="dcterms:W3CDTF">2018-04-17T09:35:00Z</dcterms:modified>
</cp:coreProperties>
</file>