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A5" w:rsidRDefault="00A05727" w:rsidP="003F67A5">
      <w:pPr>
        <w:ind w:left="3600" w:firstLine="720"/>
        <w:jc w:val="center"/>
        <w:rPr>
          <w:u w:val="single"/>
        </w:rPr>
      </w:pPr>
      <w:r>
        <w:rPr>
          <w:b/>
          <w:noProof/>
          <w:sz w:val="40"/>
          <w:lang w:eastAsia="en-GB"/>
        </w:rPr>
        <w:drawing>
          <wp:inline distT="0" distB="0" distL="0" distR="0" wp14:anchorId="37B53997" wp14:editId="3E6F3683">
            <wp:extent cx="2990850" cy="476250"/>
            <wp:effectExtent l="0" t="0" r="0" b="0"/>
            <wp:docPr id="1" name="Picture 1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96" w:rsidRPr="003F67A5" w:rsidRDefault="00F407B7" w:rsidP="003F6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Thrombocytopenia</w:t>
      </w:r>
    </w:p>
    <w:p w:rsidR="003F67A5" w:rsidRDefault="003F67A5" w:rsidP="003F67A5">
      <w:pPr>
        <w:rPr>
          <w:b/>
          <w:sz w:val="28"/>
          <w:szCs w:val="28"/>
        </w:rPr>
      </w:pPr>
      <w:r w:rsidRPr="003F67A5">
        <w:rPr>
          <w:b/>
          <w:sz w:val="28"/>
          <w:szCs w:val="28"/>
        </w:rPr>
        <w:t>Presentation</w:t>
      </w:r>
    </w:p>
    <w:p w:rsidR="00F407B7" w:rsidRPr="00F407B7" w:rsidRDefault="00F407B7" w:rsidP="00F407B7">
      <w:pPr>
        <w:rPr>
          <w:rFonts w:ascii="Calibri" w:eastAsia="Calibri" w:hAnsi="Calibri" w:cs="Times New Roman"/>
          <w:u w:val="single"/>
        </w:rPr>
      </w:pPr>
      <w:r w:rsidRPr="00F407B7">
        <w:rPr>
          <w:rFonts w:ascii="Calibri" w:eastAsia="Calibri" w:hAnsi="Calibri" w:cs="Times New Roman"/>
          <w:u w:val="single"/>
        </w:rPr>
        <w:t>Definition</w:t>
      </w:r>
    </w:p>
    <w:p w:rsidR="00F407B7" w:rsidRPr="00F407B7" w:rsidRDefault="00F407B7" w:rsidP="00F407B7">
      <w:pPr>
        <w:rPr>
          <w:rFonts w:ascii="Calibri" w:eastAsia="Calibri" w:hAnsi="Calibri" w:cs="Times New Roman"/>
        </w:rPr>
      </w:pPr>
      <w:r w:rsidRPr="00F407B7">
        <w:rPr>
          <w:rFonts w:ascii="Calibri" w:eastAsia="Calibri" w:hAnsi="Calibri" w:cs="Times New Roman"/>
        </w:rPr>
        <w:t>Platelet count &lt; 150 x 10</w:t>
      </w:r>
      <w:r w:rsidRPr="00607D7F">
        <w:rPr>
          <w:rFonts w:ascii="Calibri" w:eastAsia="Calibri" w:hAnsi="Calibri" w:cs="Times New Roman"/>
          <w:vertAlign w:val="superscript"/>
        </w:rPr>
        <w:t>9</w:t>
      </w:r>
      <w:r w:rsidRPr="00F407B7">
        <w:rPr>
          <w:rFonts w:ascii="Calibri" w:eastAsia="Calibri" w:hAnsi="Calibri" w:cs="Times New Roman"/>
        </w:rPr>
        <w:t>/L</w:t>
      </w:r>
    </w:p>
    <w:p w:rsidR="00F407B7" w:rsidRPr="003F67A5" w:rsidRDefault="00F407B7" w:rsidP="00F407B7">
      <w:pPr>
        <w:rPr>
          <w:b/>
          <w:sz w:val="28"/>
          <w:szCs w:val="28"/>
        </w:rPr>
      </w:pPr>
      <w:r w:rsidRPr="003F67A5">
        <w:rPr>
          <w:b/>
          <w:sz w:val="28"/>
          <w:szCs w:val="28"/>
        </w:rPr>
        <w:t>Clinical Findings</w:t>
      </w:r>
    </w:p>
    <w:p w:rsidR="00D0595B" w:rsidRPr="00F407B7" w:rsidRDefault="00D0595B" w:rsidP="00D0595B">
      <w:pPr>
        <w:pStyle w:val="ListParagraph"/>
        <w:numPr>
          <w:ilvl w:val="0"/>
          <w:numId w:val="12"/>
        </w:numPr>
        <w:rPr>
          <w:rFonts w:ascii="Calibri" w:eastAsia="Calibri" w:hAnsi="Calibri" w:cs="Times New Roman"/>
        </w:rPr>
      </w:pPr>
      <w:r w:rsidRPr="00F407B7">
        <w:rPr>
          <w:rFonts w:ascii="Calibri" w:eastAsia="Calibri" w:hAnsi="Calibri" w:cs="Times New Roman"/>
        </w:rPr>
        <w:t>Thrombocytopenia may result from failure of platelet production or increas</w:t>
      </w:r>
      <w:r>
        <w:rPr>
          <w:rFonts w:ascii="Calibri" w:eastAsia="Calibri" w:hAnsi="Calibri" w:cs="Times New Roman"/>
        </w:rPr>
        <w:t xml:space="preserve">ed platelet consumption. Immune </w:t>
      </w:r>
      <w:r w:rsidRPr="00F407B7">
        <w:rPr>
          <w:rFonts w:ascii="Calibri" w:eastAsia="Calibri" w:hAnsi="Calibri" w:cs="Times New Roman"/>
        </w:rPr>
        <w:t xml:space="preserve">mediated platelet consumption, immune thrombocytopenia (ITP) is the most common cause. This is often mild, chronic and asymptomatic. </w:t>
      </w:r>
    </w:p>
    <w:p w:rsidR="00D0595B" w:rsidRPr="00F407B7" w:rsidRDefault="00D0595B" w:rsidP="00D0595B">
      <w:pPr>
        <w:pStyle w:val="ListParagraph"/>
        <w:numPr>
          <w:ilvl w:val="0"/>
          <w:numId w:val="12"/>
        </w:numPr>
        <w:rPr>
          <w:rFonts w:ascii="Calibri" w:eastAsia="Calibri" w:hAnsi="Calibri" w:cs="Times New Roman"/>
        </w:rPr>
      </w:pPr>
      <w:r w:rsidRPr="00F407B7">
        <w:rPr>
          <w:rFonts w:ascii="Calibri" w:eastAsia="Calibri" w:hAnsi="Calibri" w:cs="Times New Roman"/>
        </w:rPr>
        <w:t>Thrombocytopenia may be a transient finding during acute illness and if the platelet count is &gt; 50 x 10</w:t>
      </w:r>
      <w:r w:rsidRPr="00F407B7">
        <w:rPr>
          <w:rFonts w:ascii="Calibri" w:eastAsia="Calibri" w:hAnsi="Calibri" w:cs="Times New Roman"/>
          <w:vertAlign w:val="superscript"/>
        </w:rPr>
        <w:t>9</w:t>
      </w:r>
      <w:r w:rsidRPr="00F407B7">
        <w:rPr>
          <w:rFonts w:ascii="Calibri" w:eastAsia="Calibri" w:hAnsi="Calibri" w:cs="Times New Roman"/>
        </w:rPr>
        <w:t>/L, the test should be repeated in 4-6 weeks before further investigation if the patient is otherwise well.</w:t>
      </w:r>
    </w:p>
    <w:p w:rsidR="00D0595B" w:rsidRPr="00F407B7" w:rsidRDefault="00D0595B" w:rsidP="00D0595B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Times New Roman"/>
        </w:rPr>
      </w:pPr>
      <w:r w:rsidRPr="00F407B7">
        <w:rPr>
          <w:rFonts w:ascii="Calibri" w:eastAsia="Calibri" w:hAnsi="Calibri" w:cs="Times New Roman"/>
        </w:rPr>
        <w:t>A platelet count of &gt; 50 x 10</w:t>
      </w:r>
      <w:r w:rsidRPr="00F407B7">
        <w:rPr>
          <w:rFonts w:ascii="Calibri" w:eastAsia="Calibri" w:hAnsi="Calibri" w:cs="Times New Roman"/>
          <w:vertAlign w:val="superscript"/>
        </w:rPr>
        <w:t>9</w:t>
      </w:r>
      <w:r w:rsidRPr="00F407B7">
        <w:rPr>
          <w:rFonts w:ascii="Calibri" w:eastAsia="Calibri" w:hAnsi="Calibri" w:cs="Times New Roman"/>
        </w:rPr>
        <w:t xml:space="preserve">/L is rarely associated with a bleeding tendency in the absence of a haemostatic challenge. </w:t>
      </w:r>
    </w:p>
    <w:p w:rsidR="00D0595B" w:rsidRPr="00D0595B" w:rsidRDefault="00D0595B" w:rsidP="00F407B7">
      <w:pPr>
        <w:pStyle w:val="ListParagraph"/>
        <w:numPr>
          <w:ilvl w:val="0"/>
          <w:numId w:val="12"/>
        </w:numPr>
        <w:rPr>
          <w:rFonts w:ascii="Calibri" w:eastAsia="Calibri" w:hAnsi="Calibri" w:cs="Times New Roman"/>
        </w:rPr>
      </w:pPr>
      <w:r w:rsidRPr="00F407B7">
        <w:rPr>
          <w:rFonts w:ascii="Calibri" w:eastAsia="Calibri" w:hAnsi="Calibri" w:cs="Times New Roman"/>
        </w:rPr>
        <w:t>HIV infection may be associated with thrombocytopenia and is an important diagnosis to exclude in patients with persistent thrombocytopenia.</w:t>
      </w:r>
    </w:p>
    <w:p w:rsidR="00F407B7" w:rsidRPr="00D0595B" w:rsidRDefault="00F407B7" w:rsidP="00F407B7">
      <w:pPr>
        <w:rPr>
          <w:b/>
          <w:sz w:val="28"/>
          <w:szCs w:val="28"/>
        </w:rPr>
      </w:pPr>
      <w:r w:rsidRPr="00131E61">
        <w:rPr>
          <w:b/>
          <w:sz w:val="28"/>
          <w:szCs w:val="28"/>
        </w:rPr>
        <w:t>Causes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F407B7" w:rsidTr="009639B3">
        <w:tc>
          <w:tcPr>
            <w:tcW w:w="2802" w:type="dxa"/>
          </w:tcPr>
          <w:p w:rsidR="00F407B7" w:rsidRDefault="00A00C8E" w:rsidP="009639B3">
            <w:r>
              <w:t>Immune</w:t>
            </w:r>
          </w:p>
        </w:tc>
        <w:tc>
          <w:tcPr>
            <w:tcW w:w="6440" w:type="dxa"/>
          </w:tcPr>
          <w:p w:rsidR="00F407B7" w:rsidRDefault="00A00C8E" w:rsidP="009639B3">
            <w:r>
              <w:t>ITP</w:t>
            </w:r>
            <w:r w:rsidR="00AF0697">
              <w:t>: diagnosis of exclusion.</w:t>
            </w:r>
          </w:p>
        </w:tc>
      </w:tr>
      <w:tr w:rsidR="00F407B7" w:rsidTr="009639B3">
        <w:tc>
          <w:tcPr>
            <w:tcW w:w="2802" w:type="dxa"/>
          </w:tcPr>
          <w:p w:rsidR="00F407B7" w:rsidRDefault="00A00C8E" w:rsidP="009639B3">
            <w:r>
              <w:t>Bone marrow failure</w:t>
            </w:r>
          </w:p>
        </w:tc>
        <w:tc>
          <w:tcPr>
            <w:tcW w:w="6440" w:type="dxa"/>
          </w:tcPr>
          <w:p w:rsidR="00F407B7" w:rsidRDefault="00A00C8E" w:rsidP="00A00C8E">
            <w:r>
              <w:t>Metastatic cancer, MDS/ haematological malignancy, B12/ folate deficiency</w:t>
            </w:r>
          </w:p>
        </w:tc>
      </w:tr>
      <w:tr w:rsidR="00F407B7" w:rsidTr="009639B3">
        <w:tc>
          <w:tcPr>
            <w:tcW w:w="2802" w:type="dxa"/>
          </w:tcPr>
          <w:p w:rsidR="00F407B7" w:rsidRDefault="00A00C8E" w:rsidP="009639B3">
            <w:r>
              <w:t>Drugs / toxins</w:t>
            </w:r>
          </w:p>
        </w:tc>
        <w:tc>
          <w:tcPr>
            <w:tcW w:w="6440" w:type="dxa"/>
          </w:tcPr>
          <w:p w:rsidR="00F407B7" w:rsidRDefault="00A00C8E" w:rsidP="009639B3">
            <w:r>
              <w:t>Alcohol, numerous drugs including heparin, quinine, PPIs</w:t>
            </w:r>
          </w:p>
        </w:tc>
      </w:tr>
      <w:tr w:rsidR="00F407B7" w:rsidTr="009639B3">
        <w:tc>
          <w:tcPr>
            <w:tcW w:w="2802" w:type="dxa"/>
          </w:tcPr>
          <w:p w:rsidR="00F407B7" w:rsidRDefault="00A00C8E" w:rsidP="009639B3">
            <w:r w:rsidRPr="00A00C8E">
              <w:t>Acute viral infection</w:t>
            </w:r>
          </w:p>
        </w:tc>
        <w:tc>
          <w:tcPr>
            <w:tcW w:w="6440" w:type="dxa"/>
          </w:tcPr>
          <w:p w:rsidR="00F407B7" w:rsidRDefault="00F407B7" w:rsidP="009639B3"/>
        </w:tc>
      </w:tr>
      <w:tr w:rsidR="00F407B7" w:rsidTr="009639B3">
        <w:tc>
          <w:tcPr>
            <w:tcW w:w="2802" w:type="dxa"/>
          </w:tcPr>
          <w:p w:rsidR="00F407B7" w:rsidRDefault="00A00C8E" w:rsidP="009639B3">
            <w:r w:rsidRPr="00A00C8E">
              <w:t>Chronic viral infection</w:t>
            </w:r>
          </w:p>
        </w:tc>
        <w:tc>
          <w:tcPr>
            <w:tcW w:w="6440" w:type="dxa"/>
          </w:tcPr>
          <w:p w:rsidR="00F407B7" w:rsidRDefault="00A00C8E" w:rsidP="00A00C8E">
            <w:r>
              <w:t>HIV, Hepatitis B/C</w:t>
            </w:r>
          </w:p>
        </w:tc>
      </w:tr>
      <w:tr w:rsidR="00A00C8E" w:rsidTr="009639B3">
        <w:tc>
          <w:tcPr>
            <w:tcW w:w="2802" w:type="dxa"/>
          </w:tcPr>
          <w:p w:rsidR="00A00C8E" w:rsidRPr="00A00C8E" w:rsidRDefault="00A00C8E" w:rsidP="009639B3">
            <w:r w:rsidRPr="00A00C8E">
              <w:t>Auto-immune disorder</w:t>
            </w:r>
          </w:p>
        </w:tc>
        <w:tc>
          <w:tcPr>
            <w:tcW w:w="6440" w:type="dxa"/>
          </w:tcPr>
          <w:p w:rsidR="00A00C8E" w:rsidRDefault="00A00C8E" w:rsidP="00A00C8E">
            <w:r>
              <w:t>Systemic Lupus Erythematosus (SLE), Rheumatoid arthritis, Antiphospholipid antibody syndrome</w:t>
            </w:r>
          </w:p>
        </w:tc>
      </w:tr>
      <w:tr w:rsidR="00A00C8E" w:rsidTr="009639B3">
        <w:tc>
          <w:tcPr>
            <w:tcW w:w="2802" w:type="dxa"/>
          </w:tcPr>
          <w:p w:rsidR="00A00C8E" w:rsidRPr="00A00C8E" w:rsidRDefault="00A00C8E" w:rsidP="009639B3">
            <w:r w:rsidRPr="00A00C8E">
              <w:t>Liver disease</w:t>
            </w:r>
          </w:p>
        </w:tc>
        <w:tc>
          <w:tcPr>
            <w:tcW w:w="6440" w:type="dxa"/>
          </w:tcPr>
          <w:p w:rsidR="00A00C8E" w:rsidRDefault="00A00C8E" w:rsidP="00A00C8E"/>
        </w:tc>
      </w:tr>
      <w:tr w:rsidR="00A00C8E" w:rsidTr="009639B3">
        <w:tc>
          <w:tcPr>
            <w:tcW w:w="2802" w:type="dxa"/>
          </w:tcPr>
          <w:p w:rsidR="00A00C8E" w:rsidRPr="00A00C8E" w:rsidRDefault="00A00C8E" w:rsidP="009639B3">
            <w:r w:rsidRPr="00A00C8E">
              <w:t>Hypersplenism</w:t>
            </w:r>
          </w:p>
        </w:tc>
        <w:tc>
          <w:tcPr>
            <w:tcW w:w="6440" w:type="dxa"/>
          </w:tcPr>
          <w:p w:rsidR="00A00C8E" w:rsidRDefault="00A00C8E" w:rsidP="00A00C8E"/>
        </w:tc>
      </w:tr>
      <w:tr w:rsidR="00A00C8E" w:rsidTr="009639B3">
        <w:tc>
          <w:tcPr>
            <w:tcW w:w="2802" w:type="dxa"/>
          </w:tcPr>
          <w:p w:rsidR="00A00C8E" w:rsidRPr="00A00C8E" w:rsidRDefault="00A00C8E" w:rsidP="009639B3">
            <w:r w:rsidRPr="00A00C8E">
              <w:t>Acute illness</w:t>
            </w:r>
          </w:p>
        </w:tc>
        <w:tc>
          <w:tcPr>
            <w:tcW w:w="6440" w:type="dxa"/>
          </w:tcPr>
          <w:p w:rsidR="00A00C8E" w:rsidRDefault="00A00C8E" w:rsidP="00A00C8E">
            <w:r>
              <w:t>Sepsis, Disseminate</w:t>
            </w:r>
            <w:r w:rsidR="00E44900">
              <w:t>d intravascular coagulation (DIC</w:t>
            </w:r>
            <w:r>
              <w:t>)</w:t>
            </w:r>
          </w:p>
        </w:tc>
      </w:tr>
      <w:tr w:rsidR="00A00C8E" w:rsidTr="009639B3">
        <w:tc>
          <w:tcPr>
            <w:tcW w:w="2802" w:type="dxa"/>
          </w:tcPr>
          <w:p w:rsidR="00A00C8E" w:rsidRPr="00A00C8E" w:rsidRDefault="00AF0697" w:rsidP="009639B3">
            <w:r>
              <w:t>Microangiopathic haemolytic anaemias</w:t>
            </w:r>
          </w:p>
        </w:tc>
        <w:tc>
          <w:tcPr>
            <w:tcW w:w="6440" w:type="dxa"/>
          </w:tcPr>
          <w:p w:rsidR="00A00C8E" w:rsidRDefault="00AF0697" w:rsidP="00A00C8E">
            <w:r w:rsidRPr="00AF0697">
              <w:t>Thrombotic thrombocytopenic purpura(TTP)</w:t>
            </w:r>
            <w:r w:rsidR="00E44900">
              <w:t xml:space="preserve"> </w:t>
            </w:r>
            <w:r w:rsidRPr="00AF0697">
              <w:t>/ haemolytic uraemic syndrome (HUS)</w:t>
            </w:r>
          </w:p>
        </w:tc>
      </w:tr>
    </w:tbl>
    <w:p w:rsidR="00F407B7" w:rsidRPr="00F407B7" w:rsidRDefault="00F407B7" w:rsidP="00F407B7">
      <w:pPr>
        <w:spacing w:after="0"/>
        <w:rPr>
          <w:rFonts w:ascii="Calibri" w:eastAsia="Calibri" w:hAnsi="Calibri" w:cs="Times New Roman"/>
        </w:rPr>
      </w:pPr>
    </w:p>
    <w:p w:rsidR="00F743CE" w:rsidRPr="00E97AE3" w:rsidRDefault="00F743CE" w:rsidP="00F743CE">
      <w:pPr>
        <w:rPr>
          <w:b/>
          <w:sz w:val="28"/>
          <w:szCs w:val="28"/>
        </w:rPr>
      </w:pPr>
      <w:r w:rsidRPr="00E97AE3">
        <w:rPr>
          <w:b/>
          <w:sz w:val="28"/>
          <w:szCs w:val="28"/>
        </w:rPr>
        <w:t>History</w:t>
      </w:r>
    </w:p>
    <w:p w:rsidR="00F743CE" w:rsidRDefault="00F743CE" w:rsidP="00F743CE">
      <w:r>
        <w:t>Important Features include:</w:t>
      </w:r>
    </w:p>
    <w:p w:rsidR="00F743CE" w:rsidRDefault="00F743CE" w:rsidP="00F743CE">
      <w:pPr>
        <w:pStyle w:val="ListParagraph"/>
        <w:numPr>
          <w:ilvl w:val="0"/>
          <w:numId w:val="13"/>
        </w:numPr>
      </w:pPr>
      <w:r>
        <w:t>Review any newly started medications</w:t>
      </w:r>
    </w:p>
    <w:p w:rsidR="00F743CE" w:rsidRDefault="00F743CE" w:rsidP="00F743CE">
      <w:pPr>
        <w:pStyle w:val="ListParagraph"/>
        <w:numPr>
          <w:ilvl w:val="0"/>
          <w:numId w:val="13"/>
        </w:numPr>
      </w:pPr>
      <w:r>
        <w:t>Any recent infections</w:t>
      </w:r>
    </w:p>
    <w:p w:rsidR="00F743CE" w:rsidRDefault="00F743CE" w:rsidP="00F743CE">
      <w:pPr>
        <w:pStyle w:val="ListParagraph"/>
        <w:numPr>
          <w:ilvl w:val="0"/>
          <w:numId w:val="13"/>
        </w:numPr>
      </w:pPr>
      <w:r>
        <w:t>Risk factors for HIV or hepatitis C</w:t>
      </w:r>
    </w:p>
    <w:p w:rsidR="00F743CE" w:rsidRDefault="00F743CE" w:rsidP="00F743CE">
      <w:pPr>
        <w:pStyle w:val="ListParagraph"/>
        <w:numPr>
          <w:ilvl w:val="0"/>
          <w:numId w:val="13"/>
        </w:numPr>
      </w:pPr>
      <w:r>
        <w:lastRenderedPageBreak/>
        <w:t>Alcohol history</w:t>
      </w:r>
      <w:r w:rsidR="00751CD8">
        <w:rPr>
          <w:b/>
          <w:noProof/>
          <w:sz w:val="40"/>
          <w:lang w:eastAsia="en-GB"/>
        </w:rPr>
        <w:t xml:space="preserve">                     </w:t>
      </w:r>
      <w:r w:rsidR="00751CD8">
        <w:rPr>
          <w:b/>
          <w:noProof/>
          <w:sz w:val="40"/>
          <w:lang w:eastAsia="en-GB"/>
        </w:rPr>
        <w:drawing>
          <wp:inline distT="0" distB="0" distL="0" distR="0" wp14:anchorId="3CAD02FD" wp14:editId="5458738F">
            <wp:extent cx="2990850" cy="476250"/>
            <wp:effectExtent l="0" t="0" r="0" b="0"/>
            <wp:docPr id="2" name="Picture 2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CE" w:rsidRDefault="00F743CE" w:rsidP="00F743CE">
      <w:pPr>
        <w:pStyle w:val="ListParagraph"/>
        <w:numPr>
          <w:ilvl w:val="0"/>
          <w:numId w:val="13"/>
        </w:numPr>
      </w:pPr>
      <w:r>
        <w:t>Bleeding history</w:t>
      </w:r>
    </w:p>
    <w:p w:rsidR="00F743CE" w:rsidRDefault="00F743CE" w:rsidP="00F743CE">
      <w:pPr>
        <w:pStyle w:val="ListParagraph"/>
        <w:numPr>
          <w:ilvl w:val="0"/>
          <w:numId w:val="13"/>
        </w:numPr>
      </w:pPr>
      <w:r>
        <w:t>Currently on antiplatelet or anticoagulant</w:t>
      </w:r>
    </w:p>
    <w:p w:rsidR="00F743CE" w:rsidRPr="00E97AE3" w:rsidRDefault="00F743CE" w:rsidP="00F743CE">
      <w:pPr>
        <w:rPr>
          <w:b/>
          <w:sz w:val="28"/>
          <w:szCs w:val="28"/>
        </w:rPr>
      </w:pPr>
      <w:r w:rsidRPr="00E97AE3">
        <w:rPr>
          <w:b/>
          <w:sz w:val="28"/>
          <w:szCs w:val="28"/>
        </w:rPr>
        <w:t>Symptoms and Signs</w:t>
      </w:r>
    </w:p>
    <w:p w:rsidR="00D63FD1" w:rsidRDefault="00D63FD1" w:rsidP="00D63FD1">
      <w:pPr>
        <w:pStyle w:val="ListParagraph"/>
        <w:numPr>
          <w:ilvl w:val="0"/>
          <w:numId w:val="14"/>
        </w:numPr>
      </w:pPr>
      <w:r>
        <w:t xml:space="preserve">Are there constitutional symptoms suggestive of malignancy (fever, weight loss, night sweats) </w:t>
      </w:r>
    </w:p>
    <w:p w:rsidR="00F743CE" w:rsidRDefault="00D63FD1" w:rsidP="00F743CE">
      <w:pPr>
        <w:pStyle w:val="ListParagraph"/>
        <w:numPr>
          <w:ilvl w:val="0"/>
          <w:numId w:val="14"/>
        </w:numPr>
        <w:spacing w:after="0"/>
      </w:pPr>
      <w:r>
        <w:t>Assess for features of liver disease</w:t>
      </w:r>
    </w:p>
    <w:p w:rsidR="00D63FD1" w:rsidRDefault="00D63FD1" w:rsidP="00F743CE">
      <w:pPr>
        <w:pStyle w:val="ListParagraph"/>
        <w:numPr>
          <w:ilvl w:val="0"/>
          <w:numId w:val="14"/>
        </w:numPr>
        <w:spacing w:after="0"/>
      </w:pPr>
      <w:r>
        <w:t>Assess for lymphadenopathy and hepatosplenomegaly</w:t>
      </w:r>
    </w:p>
    <w:p w:rsidR="00F743CE" w:rsidRDefault="00F743CE" w:rsidP="00F743CE">
      <w:pPr>
        <w:spacing w:after="0"/>
      </w:pPr>
    </w:p>
    <w:p w:rsidR="00F407B7" w:rsidRDefault="00F743CE" w:rsidP="00F743CE">
      <w:pPr>
        <w:spacing w:after="0"/>
        <w:rPr>
          <w:b/>
          <w:sz w:val="28"/>
          <w:szCs w:val="28"/>
        </w:rPr>
      </w:pPr>
      <w:r w:rsidRPr="00A222AA">
        <w:rPr>
          <w:b/>
          <w:sz w:val="28"/>
          <w:szCs w:val="28"/>
        </w:rPr>
        <w:t>Investigations</w:t>
      </w:r>
    </w:p>
    <w:p w:rsidR="0087642E" w:rsidRPr="00F407B7" w:rsidRDefault="0087642E" w:rsidP="00F743CE">
      <w:pPr>
        <w:spacing w:after="0"/>
        <w:rPr>
          <w:rFonts w:ascii="Calibri" w:eastAsia="Calibri" w:hAnsi="Calibri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060"/>
      </w:tblGrid>
      <w:tr w:rsidR="0087642E" w:rsidTr="0087642E">
        <w:trPr>
          <w:trHeight w:val="250"/>
        </w:trPr>
        <w:tc>
          <w:tcPr>
            <w:tcW w:w="6062" w:type="dxa"/>
          </w:tcPr>
          <w:p w:rsidR="0087642E" w:rsidRDefault="0087642E" w:rsidP="00D54B02">
            <w:r>
              <w:t>First line investigations</w:t>
            </w:r>
          </w:p>
        </w:tc>
        <w:tc>
          <w:tcPr>
            <w:tcW w:w="3060" w:type="dxa"/>
          </w:tcPr>
          <w:p w:rsidR="0087642E" w:rsidRDefault="0087642E" w:rsidP="0087642E">
            <w:r>
              <w:t>Further  i</w:t>
            </w:r>
            <w:r w:rsidRPr="00E56F53">
              <w:t xml:space="preserve">nvestigations </w:t>
            </w:r>
            <w:r>
              <w:t>if persistent true thrombocytopenia</w:t>
            </w:r>
          </w:p>
        </w:tc>
      </w:tr>
      <w:tr w:rsidR="0087642E" w:rsidTr="0087642E">
        <w:trPr>
          <w:trHeight w:val="271"/>
        </w:trPr>
        <w:tc>
          <w:tcPr>
            <w:tcW w:w="6062" w:type="dxa"/>
          </w:tcPr>
          <w:p w:rsidR="0087642E" w:rsidRDefault="0087642E" w:rsidP="00607D7F">
            <w:r>
              <w:t xml:space="preserve">Repeat the FBC: </w:t>
            </w:r>
            <w:r w:rsidRPr="0087642E">
              <w:t>To confirm the presence of a true thrombocytopenia. Platelet clumping is a common cau</w:t>
            </w:r>
            <w:r w:rsidR="00607D7F">
              <w:t xml:space="preserve">se of “pseudothrombocytopenia”. </w:t>
            </w:r>
            <w:r w:rsidRPr="0087642E">
              <w:t>The FBC should be repeated in a citrate sample.</w:t>
            </w:r>
          </w:p>
        </w:tc>
        <w:tc>
          <w:tcPr>
            <w:tcW w:w="3060" w:type="dxa"/>
          </w:tcPr>
          <w:p w:rsidR="0087642E" w:rsidRPr="00F407B7" w:rsidRDefault="0087642E" w:rsidP="0087642E">
            <w:pPr>
              <w:rPr>
                <w:rFonts w:ascii="Calibri" w:eastAsia="Calibri" w:hAnsi="Calibri" w:cs="Times New Roman"/>
              </w:rPr>
            </w:pPr>
            <w:r w:rsidRPr="00F407B7">
              <w:rPr>
                <w:rFonts w:ascii="Calibri" w:eastAsia="Calibri" w:hAnsi="Calibri" w:cs="Times New Roman"/>
              </w:rPr>
              <w:t>B12/folate</w:t>
            </w:r>
          </w:p>
          <w:p w:rsidR="0087642E" w:rsidRPr="0087642E" w:rsidRDefault="0087642E" w:rsidP="0087642E">
            <w:pPr>
              <w:rPr>
                <w:rFonts w:ascii="Calibri" w:eastAsia="Calibri" w:hAnsi="Calibri" w:cs="Times New Roman"/>
              </w:rPr>
            </w:pPr>
          </w:p>
        </w:tc>
      </w:tr>
      <w:tr w:rsidR="0087642E" w:rsidTr="0087642E">
        <w:trPr>
          <w:trHeight w:val="250"/>
        </w:trPr>
        <w:tc>
          <w:tcPr>
            <w:tcW w:w="6062" w:type="dxa"/>
            <w:vMerge w:val="restart"/>
          </w:tcPr>
          <w:p w:rsidR="0087642E" w:rsidRDefault="0087642E" w:rsidP="0087642E">
            <w:r>
              <w:t xml:space="preserve">Blood film: To look for evidence of other abnormal blood film features that will provide a clue to the cause of the thrombocytopenia </w:t>
            </w:r>
            <w:r w:rsidR="00E44900">
              <w:t>e.g.</w:t>
            </w:r>
            <w:r>
              <w:t xml:space="preserve"> Dysplastic changes, </w:t>
            </w:r>
            <w:r w:rsidR="00E44900">
              <w:t>leucoerythroblastic</w:t>
            </w:r>
            <w:r>
              <w:t xml:space="preserve"> features, megaloblastic changes, reactive lymphocytes consistent viral infection or lymphoproliferative disorder.</w:t>
            </w:r>
          </w:p>
          <w:p w:rsidR="0087642E" w:rsidRDefault="0087642E" w:rsidP="0087642E">
            <w:r>
              <w:t>The blood film is usually otherwise normal in immune thrombocytopenia and the patient usually otherwise clinically well</w:t>
            </w:r>
          </w:p>
        </w:tc>
        <w:tc>
          <w:tcPr>
            <w:tcW w:w="3060" w:type="dxa"/>
          </w:tcPr>
          <w:p w:rsidR="0087642E" w:rsidRDefault="0087642E" w:rsidP="00D54B02">
            <w:r w:rsidRPr="0087642E">
              <w:t xml:space="preserve">LFT including gamma </w:t>
            </w:r>
            <w:proofErr w:type="spellStart"/>
            <w:r w:rsidRPr="0087642E">
              <w:t>glutamyl</w:t>
            </w:r>
            <w:proofErr w:type="spellEnd"/>
            <w:r w:rsidRPr="0087642E">
              <w:t xml:space="preserve"> transferase</w:t>
            </w:r>
            <w:r w:rsidR="00E44900">
              <w:t xml:space="preserve"> (GGT)</w:t>
            </w:r>
          </w:p>
        </w:tc>
      </w:tr>
      <w:tr w:rsidR="0087642E" w:rsidTr="0087642E">
        <w:trPr>
          <w:trHeight w:val="250"/>
        </w:trPr>
        <w:tc>
          <w:tcPr>
            <w:tcW w:w="6062" w:type="dxa"/>
            <w:vMerge/>
          </w:tcPr>
          <w:p w:rsidR="0087642E" w:rsidRDefault="0087642E" w:rsidP="0087642E"/>
        </w:tc>
        <w:tc>
          <w:tcPr>
            <w:tcW w:w="3060" w:type="dxa"/>
          </w:tcPr>
          <w:p w:rsidR="0087642E" w:rsidRDefault="0087642E" w:rsidP="00D54B02">
            <w:r w:rsidRPr="0087642E">
              <w:t>Clotting screen</w:t>
            </w:r>
          </w:p>
        </w:tc>
      </w:tr>
      <w:tr w:rsidR="0087642E" w:rsidTr="0087642E">
        <w:trPr>
          <w:trHeight w:val="250"/>
        </w:trPr>
        <w:tc>
          <w:tcPr>
            <w:tcW w:w="6062" w:type="dxa"/>
            <w:vMerge/>
          </w:tcPr>
          <w:p w:rsidR="0087642E" w:rsidRDefault="0087642E" w:rsidP="0087642E"/>
        </w:tc>
        <w:tc>
          <w:tcPr>
            <w:tcW w:w="3060" w:type="dxa"/>
          </w:tcPr>
          <w:p w:rsidR="0087642E" w:rsidRPr="0087642E" w:rsidRDefault="0087642E" w:rsidP="00D54B02">
            <w:pPr>
              <w:rPr>
                <w:rFonts w:ascii="Calibri" w:eastAsia="Calibri" w:hAnsi="Calibri" w:cs="Times New Roman"/>
              </w:rPr>
            </w:pPr>
            <w:r w:rsidRPr="00F407B7">
              <w:rPr>
                <w:rFonts w:ascii="Calibri" w:eastAsia="Calibri" w:hAnsi="Calibri" w:cs="Times New Roman"/>
              </w:rPr>
              <w:t>Virology: HIV, Hepatitis B/C</w:t>
            </w:r>
          </w:p>
        </w:tc>
      </w:tr>
      <w:tr w:rsidR="0087642E" w:rsidTr="0087642E">
        <w:trPr>
          <w:trHeight w:val="250"/>
        </w:trPr>
        <w:tc>
          <w:tcPr>
            <w:tcW w:w="6062" w:type="dxa"/>
            <w:vMerge/>
          </w:tcPr>
          <w:p w:rsidR="0087642E" w:rsidRDefault="0087642E" w:rsidP="0087642E"/>
        </w:tc>
        <w:tc>
          <w:tcPr>
            <w:tcW w:w="3060" w:type="dxa"/>
          </w:tcPr>
          <w:p w:rsidR="0087642E" w:rsidRDefault="0087642E" w:rsidP="00D54B02">
            <w:r w:rsidRPr="00F407B7">
              <w:rPr>
                <w:rFonts w:ascii="Calibri" w:eastAsia="Calibri" w:hAnsi="Calibri" w:cs="Times New Roman"/>
              </w:rPr>
              <w:t>Auto-antibody screen: ANA, anti-phospholipid antibodies (anticardiolipin antibodies and lupus anticoagulant)</w:t>
            </w:r>
          </w:p>
        </w:tc>
      </w:tr>
    </w:tbl>
    <w:p w:rsidR="0087642E" w:rsidRDefault="0087642E" w:rsidP="00F407B7">
      <w:pPr>
        <w:spacing w:after="0"/>
        <w:rPr>
          <w:rFonts w:ascii="Calibri" w:eastAsia="Calibri" w:hAnsi="Calibri" w:cs="Times New Roman"/>
          <w:u w:val="single"/>
        </w:rPr>
      </w:pPr>
    </w:p>
    <w:p w:rsidR="0053345F" w:rsidRPr="00607D7F" w:rsidRDefault="00CD74F2" w:rsidP="00607D7F">
      <w:pPr>
        <w:rPr>
          <w:b/>
          <w:sz w:val="28"/>
          <w:szCs w:val="28"/>
        </w:rPr>
      </w:pPr>
      <w:r w:rsidRPr="002A2514">
        <w:rPr>
          <w:b/>
          <w:sz w:val="28"/>
          <w:szCs w:val="28"/>
        </w:rPr>
        <w:t>Referral</w:t>
      </w:r>
    </w:p>
    <w:p w:rsidR="00F407B7" w:rsidRPr="00607D7F" w:rsidRDefault="00F407B7" w:rsidP="00607D7F">
      <w:pPr>
        <w:pStyle w:val="ListParagraph"/>
        <w:numPr>
          <w:ilvl w:val="0"/>
          <w:numId w:val="16"/>
        </w:numPr>
        <w:spacing w:after="0"/>
        <w:rPr>
          <w:rFonts w:ascii="Calibri" w:eastAsia="Calibri" w:hAnsi="Calibri" w:cs="Times New Roman"/>
        </w:rPr>
      </w:pPr>
      <w:r w:rsidRPr="00607D7F">
        <w:rPr>
          <w:rFonts w:ascii="Calibri" w:eastAsia="Calibri" w:hAnsi="Calibri" w:cs="Times New Roman"/>
        </w:rPr>
        <w:t>Platelet count &lt; 20 x 10</w:t>
      </w:r>
      <w:r w:rsidRPr="00607D7F">
        <w:rPr>
          <w:rFonts w:ascii="Calibri" w:eastAsia="Calibri" w:hAnsi="Calibri" w:cs="Times New Roman"/>
          <w:vertAlign w:val="superscript"/>
        </w:rPr>
        <w:t>9</w:t>
      </w:r>
      <w:r w:rsidRPr="00607D7F">
        <w:rPr>
          <w:rFonts w:ascii="Calibri" w:eastAsia="Calibri" w:hAnsi="Calibri" w:cs="Times New Roman"/>
        </w:rPr>
        <w:t>/L: discuss with Haematologist directly for urgent referral</w:t>
      </w:r>
    </w:p>
    <w:p w:rsidR="00F407B7" w:rsidRPr="00607D7F" w:rsidRDefault="00F407B7" w:rsidP="00607D7F">
      <w:pPr>
        <w:pStyle w:val="ListParagraph"/>
        <w:numPr>
          <w:ilvl w:val="0"/>
          <w:numId w:val="16"/>
        </w:numPr>
        <w:spacing w:after="0"/>
        <w:rPr>
          <w:rFonts w:ascii="Calibri" w:eastAsia="Calibri" w:hAnsi="Calibri" w:cs="Times New Roman"/>
        </w:rPr>
      </w:pPr>
      <w:r w:rsidRPr="00607D7F">
        <w:rPr>
          <w:rFonts w:ascii="Calibri" w:eastAsia="Calibri" w:hAnsi="Calibri" w:cs="Times New Roman"/>
        </w:rPr>
        <w:t>Platelet count &lt; 50 x 10</w:t>
      </w:r>
      <w:r w:rsidRPr="00607D7F">
        <w:rPr>
          <w:rFonts w:ascii="Calibri" w:eastAsia="Calibri" w:hAnsi="Calibri" w:cs="Times New Roman"/>
          <w:vertAlign w:val="superscript"/>
        </w:rPr>
        <w:t>9</w:t>
      </w:r>
      <w:r w:rsidR="0053345F" w:rsidRPr="00607D7F">
        <w:rPr>
          <w:rFonts w:ascii="Calibri" w:eastAsia="Calibri" w:hAnsi="Calibri" w:cs="Times New Roman"/>
        </w:rPr>
        <w:t xml:space="preserve">/L </w:t>
      </w:r>
      <w:r w:rsidRPr="00607D7F">
        <w:rPr>
          <w:rFonts w:ascii="Calibri" w:eastAsia="Calibri" w:hAnsi="Calibri" w:cs="Times New Roman"/>
        </w:rPr>
        <w:t>confirmed on a repeat sample at least 4 weeks apart</w:t>
      </w:r>
    </w:p>
    <w:p w:rsidR="00607D7F" w:rsidRPr="007C51C6" w:rsidRDefault="00F407B7" w:rsidP="007C51C6">
      <w:pPr>
        <w:pStyle w:val="ListParagraph"/>
        <w:numPr>
          <w:ilvl w:val="0"/>
          <w:numId w:val="16"/>
        </w:numPr>
        <w:spacing w:after="0"/>
        <w:rPr>
          <w:rFonts w:ascii="Calibri" w:eastAsia="Calibri" w:hAnsi="Calibri" w:cs="Times New Roman"/>
          <w:u w:val="single"/>
        </w:rPr>
      </w:pPr>
      <w:r w:rsidRPr="00607D7F">
        <w:rPr>
          <w:rFonts w:ascii="Calibri" w:eastAsia="Calibri" w:hAnsi="Calibri" w:cs="Times New Roman"/>
        </w:rPr>
        <w:t>Platelet count 50-100 x 10</w:t>
      </w:r>
      <w:r w:rsidRPr="00607D7F">
        <w:rPr>
          <w:rFonts w:ascii="Calibri" w:eastAsia="Calibri" w:hAnsi="Calibri" w:cs="Times New Roman"/>
          <w:vertAlign w:val="superscript"/>
        </w:rPr>
        <w:t>9</w:t>
      </w:r>
      <w:r w:rsidRPr="00607D7F">
        <w:rPr>
          <w:rFonts w:ascii="Calibri" w:eastAsia="Calibri" w:hAnsi="Calibri" w:cs="Times New Roman"/>
        </w:rPr>
        <w:t xml:space="preserve">/L </w:t>
      </w:r>
      <w:r w:rsidRPr="00607D7F">
        <w:rPr>
          <w:rFonts w:ascii="Calibri" w:eastAsia="Calibri" w:hAnsi="Calibri" w:cs="Times New Roman"/>
          <w:u w:val="single"/>
        </w:rPr>
        <w:t>if</w:t>
      </w:r>
      <w:r w:rsidR="007C51C6">
        <w:rPr>
          <w:rFonts w:ascii="Calibri" w:eastAsia="Calibri" w:hAnsi="Calibri" w:cs="Times New Roman"/>
          <w:u w:val="single"/>
        </w:rPr>
        <w:t xml:space="preserve"> </w:t>
      </w:r>
      <w:r w:rsidR="00607D7F" w:rsidRPr="007C51C6">
        <w:rPr>
          <w:rFonts w:ascii="Calibri" w:eastAsia="Calibri" w:hAnsi="Calibri" w:cs="Times New Roman"/>
        </w:rPr>
        <w:t>b</w:t>
      </w:r>
      <w:r w:rsidRPr="007C51C6">
        <w:rPr>
          <w:rFonts w:ascii="Calibri" w:eastAsia="Calibri" w:hAnsi="Calibri" w:cs="Times New Roman"/>
        </w:rPr>
        <w:t>leeding symptoms</w:t>
      </w:r>
      <w:r w:rsidR="007C51C6">
        <w:rPr>
          <w:rFonts w:ascii="Calibri" w:eastAsia="Calibri" w:hAnsi="Calibri" w:cs="Times New Roman"/>
        </w:rPr>
        <w:t xml:space="preserve">, </w:t>
      </w:r>
      <w:r w:rsidRPr="007C51C6">
        <w:rPr>
          <w:rFonts w:ascii="Calibri" w:eastAsia="Calibri" w:hAnsi="Calibri" w:cs="Times New Roman"/>
        </w:rPr>
        <w:t>On anticoagulant or anti-platelet medications</w:t>
      </w:r>
      <w:r w:rsidR="007C51C6">
        <w:rPr>
          <w:rFonts w:ascii="Calibri" w:eastAsia="Calibri" w:hAnsi="Calibri" w:cs="Times New Roman"/>
        </w:rPr>
        <w:t xml:space="preserve">, </w:t>
      </w:r>
      <w:r w:rsidRPr="007C51C6">
        <w:rPr>
          <w:rFonts w:ascii="Calibri" w:eastAsia="Calibri" w:hAnsi="Calibri" w:cs="Times New Roman"/>
        </w:rPr>
        <w:t>Systemically unwell</w:t>
      </w:r>
      <w:r w:rsidR="007C51C6">
        <w:rPr>
          <w:rFonts w:ascii="Calibri" w:eastAsia="Calibri" w:hAnsi="Calibri" w:cs="Times New Roman"/>
        </w:rPr>
        <w:t xml:space="preserve">, </w:t>
      </w:r>
      <w:r w:rsidRPr="007C51C6">
        <w:rPr>
          <w:rFonts w:ascii="Calibri" w:eastAsia="Calibri" w:hAnsi="Calibri" w:cs="Times New Roman"/>
        </w:rPr>
        <w:t>Other cytopenias/ abnormal blood film</w:t>
      </w:r>
      <w:r w:rsidR="007C51C6">
        <w:rPr>
          <w:rFonts w:ascii="Calibri" w:eastAsia="Calibri" w:hAnsi="Calibri" w:cs="Times New Roman"/>
        </w:rPr>
        <w:t xml:space="preserve">, </w:t>
      </w:r>
      <w:r w:rsidRPr="007C51C6">
        <w:rPr>
          <w:rFonts w:ascii="Calibri" w:eastAsia="Calibri" w:hAnsi="Calibri" w:cs="Times New Roman"/>
        </w:rPr>
        <w:t>Pregnant</w:t>
      </w:r>
      <w:r w:rsidR="007C51C6">
        <w:rPr>
          <w:rFonts w:ascii="Calibri" w:eastAsia="Calibri" w:hAnsi="Calibri" w:cs="Times New Roman"/>
        </w:rPr>
        <w:t>, unexplained s</w:t>
      </w:r>
      <w:r w:rsidRPr="007C51C6">
        <w:rPr>
          <w:rFonts w:ascii="Calibri" w:eastAsia="Calibri" w:hAnsi="Calibri" w:cs="Times New Roman"/>
        </w:rPr>
        <w:t>plenomegaly</w:t>
      </w:r>
      <w:r w:rsidR="007C51C6">
        <w:rPr>
          <w:rFonts w:ascii="Calibri" w:eastAsia="Calibri" w:hAnsi="Calibri" w:cs="Times New Roman"/>
        </w:rPr>
        <w:t xml:space="preserve"> or a</w:t>
      </w:r>
      <w:r w:rsidRPr="007C51C6">
        <w:rPr>
          <w:rFonts w:ascii="Calibri" w:eastAsia="Calibri" w:hAnsi="Calibri" w:cs="Times New Roman"/>
        </w:rPr>
        <w:t>waiting surgery</w:t>
      </w:r>
    </w:p>
    <w:p w:rsidR="00F82594" w:rsidRDefault="00607D7F" w:rsidP="007852CF">
      <w:pPr>
        <w:pStyle w:val="ListParagraph"/>
        <w:numPr>
          <w:ilvl w:val="0"/>
          <w:numId w:val="16"/>
        </w:numPr>
        <w:spacing w:after="0"/>
        <w:rPr>
          <w:rFonts w:ascii="Calibri" w:eastAsia="Calibri" w:hAnsi="Calibri" w:cs="Times New Roman"/>
        </w:rPr>
      </w:pPr>
      <w:r w:rsidRPr="00607D7F">
        <w:rPr>
          <w:rFonts w:ascii="Calibri" w:eastAsia="Calibri" w:hAnsi="Calibri" w:cs="Times New Roman"/>
        </w:rPr>
        <w:t>If platelets 50-150 and do no require referral (as above) suggest repeat FBC in 6 weeks. If FBC unchanged monitor in primary car</w:t>
      </w:r>
      <w:bookmarkStart w:id="0" w:name="_GoBack"/>
      <w:bookmarkEnd w:id="0"/>
      <w:r w:rsidRPr="00607D7F">
        <w:rPr>
          <w:rFonts w:ascii="Calibri" w:eastAsia="Calibri" w:hAnsi="Calibri" w:cs="Times New Roman"/>
        </w:rPr>
        <w:t>e every 4 months to ensure no deterioration or other abnormalities become apparent. Patients should represent if new bleeding or bruising or constitutional symptoms occur</w:t>
      </w:r>
      <w:r w:rsidR="00D0595B">
        <w:rPr>
          <w:rFonts w:ascii="Calibri" w:eastAsia="Calibri" w:hAnsi="Calibri" w:cs="Times New Roman"/>
        </w:rPr>
        <w:t>.</w:t>
      </w:r>
    </w:p>
    <w:p w:rsidR="00EE4282" w:rsidRPr="00EE4282" w:rsidRDefault="00EE4282" w:rsidP="00EE4282">
      <w:pPr>
        <w:rPr>
          <w:b/>
          <w:sz w:val="28"/>
          <w:szCs w:val="28"/>
        </w:rPr>
      </w:pPr>
      <w:r w:rsidRPr="00EE4282">
        <w:rPr>
          <w:b/>
          <w:sz w:val="28"/>
          <w:szCs w:val="28"/>
        </w:rPr>
        <w:t>References</w:t>
      </w:r>
    </w:p>
    <w:p w:rsidR="00203313" w:rsidRDefault="00203313" w:rsidP="00203313">
      <w:pPr>
        <w:pStyle w:val="ListParagraph"/>
        <w:numPr>
          <w:ilvl w:val="0"/>
          <w:numId w:val="19"/>
        </w:numPr>
        <w:rPr>
          <w:sz w:val="18"/>
          <w:szCs w:val="18"/>
        </w:rPr>
      </w:pPr>
      <w:proofErr w:type="spellStart"/>
      <w:r w:rsidRPr="00203313">
        <w:rPr>
          <w:sz w:val="18"/>
          <w:szCs w:val="18"/>
        </w:rPr>
        <w:t>Smellie</w:t>
      </w:r>
      <w:proofErr w:type="spellEnd"/>
      <w:r w:rsidRPr="00203313">
        <w:rPr>
          <w:sz w:val="18"/>
          <w:szCs w:val="18"/>
        </w:rPr>
        <w:t xml:space="preserve"> WSA et al. Best practice in primary care </w:t>
      </w:r>
      <w:r w:rsidR="00E44900" w:rsidRPr="00203313">
        <w:rPr>
          <w:sz w:val="18"/>
          <w:szCs w:val="18"/>
        </w:rPr>
        <w:t>pathology</w:t>
      </w:r>
      <w:r w:rsidRPr="00203313">
        <w:rPr>
          <w:sz w:val="18"/>
          <w:szCs w:val="18"/>
        </w:rPr>
        <w:t xml:space="preserve">: review 3. J </w:t>
      </w:r>
      <w:proofErr w:type="spellStart"/>
      <w:r w:rsidRPr="00203313">
        <w:rPr>
          <w:sz w:val="18"/>
          <w:szCs w:val="18"/>
        </w:rPr>
        <w:t>Clin</w:t>
      </w:r>
      <w:proofErr w:type="spellEnd"/>
      <w:r w:rsidRPr="00203313">
        <w:rPr>
          <w:sz w:val="18"/>
          <w:szCs w:val="18"/>
        </w:rPr>
        <w:t xml:space="preserve"> </w:t>
      </w:r>
      <w:proofErr w:type="spellStart"/>
      <w:r w:rsidRPr="00203313">
        <w:rPr>
          <w:sz w:val="18"/>
          <w:szCs w:val="18"/>
        </w:rPr>
        <w:t>Pathol</w:t>
      </w:r>
      <w:proofErr w:type="spellEnd"/>
      <w:r w:rsidRPr="00203313">
        <w:rPr>
          <w:sz w:val="18"/>
          <w:szCs w:val="18"/>
        </w:rPr>
        <w:t xml:space="preserve"> 2006</w:t>
      </w:r>
      <w:proofErr w:type="gramStart"/>
      <w:r w:rsidRPr="00203313">
        <w:rPr>
          <w:sz w:val="18"/>
          <w:szCs w:val="18"/>
        </w:rPr>
        <w:t>;59:781</w:t>
      </w:r>
      <w:proofErr w:type="gramEnd"/>
      <w:r w:rsidRPr="00203313">
        <w:rPr>
          <w:sz w:val="18"/>
          <w:szCs w:val="18"/>
        </w:rPr>
        <w:t>-789.</w:t>
      </w:r>
    </w:p>
    <w:p w:rsidR="00F82594" w:rsidRPr="00203313" w:rsidRDefault="00203313" w:rsidP="007852CF">
      <w:pPr>
        <w:pStyle w:val="ListParagraph"/>
        <w:numPr>
          <w:ilvl w:val="0"/>
          <w:numId w:val="19"/>
        </w:numPr>
        <w:rPr>
          <w:sz w:val="18"/>
          <w:szCs w:val="18"/>
        </w:rPr>
      </w:pPr>
      <w:r w:rsidRPr="00203313">
        <w:rPr>
          <w:sz w:val="18"/>
          <w:szCs w:val="18"/>
        </w:rPr>
        <w:t>Bradbury C et al. Investigating an incidental finding of thrombocytopenia. BMJ 2013</w:t>
      </w:r>
      <w:proofErr w:type="gramStart"/>
      <w:r w:rsidRPr="00203313">
        <w:rPr>
          <w:sz w:val="18"/>
          <w:szCs w:val="18"/>
        </w:rPr>
        <w:t>;346:f11</w:t>
      </w:r>
      <w:proofErr w:type="gramEnd"/>
      <w:r w:rsidRPr="00203313">
        <w:rPr>
          <w:sz w:val="18"/>
          <w:szCs w:val="18"/>
        </w:rPr>
        <w:t>.</w:t>
      </w:r>
    </w:p>
    <w:sectPr w:rsidR="00F82594" w:rsidRPr="00203313" w:rsidSect="00203313">
      <w:footerReference w:type="default" r:id="rId10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EC" w:rsidRDefault="00337FEC" w:rsidP="006658FF">
      <w:pPr>
        <w:spacing w:after="0" w:line="240" w:lineRule="auto"/>
      </w:pPr>
      <w:r>
        <w:separator/>
      </w:r>
    </w:p>
  </w:endnote>
  <w:endnote w:type="continuationSeparator" w:id="0">
    <w:p w:rsidR="00337FEC" w:rsidRDefault="00337FEC" w:rsidP="0066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13" w:rsidRPr="00203313" w:rsidRDefault="00203313">
    <w:pPr>
      <w:pStyle w:val="Footer"/>
      <w:rPr>
        <w:sz w:val="18"/>
        <w:szCs w:val="18"/>
      </w:rPr>
    </w:pPr>
    <w:r w:rsidRPr="00203313">
      <w:rPr>
        <w:sz w:val="18"/>
        <w:szCs w:val="18"/>
      </w:rPr>
      <w:t>Thrombocytopenia guidance. Authors: Jenny Arnold, Noel Ryman. Version 1. Approved on: 01 March 2018. Review date: 01 March 2021</w:t>
    </w:r>
  </w:p>
  <w:p w:rsidR="00203313" w:rsidRDefault="00203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EC" w:rsidRDefault="00337FEC" w:rsidP="006658FF">
      <w:pPr>
        <w:spacing w:after="0" w:line="240" w:lineRule="auto"/>
      </w:pPr>
      <w:r>
        <w:separator/>
      </w:r>
    </w:p>
  </w:footnote>
  <w:footnote w:type="continuationSeparator" w:id="0">
    <w:p w:rsidR="00337FEC" w:rsidRDefault="00337FEC" w:rsidP="0066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0BB"/>
    <w:multiLevelType w:val="hybridMultilevel"/>
    <w:tmpl w:val="C79E7C30"/>
    <w:lvl w:ilvl="0" w:tplc="7A5ECB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522A"/>
    <w:multiLevelType w:val="hybridMultilevel"/>
    <w:tmpl w:val="96D6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46255"/>
    <w:multiLevelType w:val="hybridMultilevel"/>
    <w:tmpl w:val="647668F0"/>
    <w:lvl w:ilvl="0" w:tplc="EF703D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63F93"/>
    <w:multiLevelType w:val="hybridMultilevel"/>
    <w:tmpl w:val="626E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15C28"/>
    <w:multiLevelType w:val="hybridMultilevel"/>
    <w:tmpl w:val="2E88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F5FB6"/>
    <w:multiLevelType w:val="hybridMultilevel"/>
    <w:tmpl w:val="158CE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360C5"/>
    <w:multiLevelType w:val="hybridMultilevel"/>
    <w:tmpl w:val="C772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108B5"/>
    <w:multiLevelType w:val="hybridMultilevel"/>
    <w:tmpl w:val="83FC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D37F4"/>
    <w:multiLevelType w:val="hybridMultilevel"/>
    <w:tmpl w:val="67F6B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43609"/>
    <w:multiLevelType w:val="hybridMultilevel"/>
    <w:tmpl w:val="C0F89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D09A1"/>
    <w:multiLevelType w:val="hybridMultilevel"/>
    <w:tmpl w:val="C1CA0EF2"/>
    <w:lvl w:ilvl="0" w:tplc="9CE48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FF2BFD"/>
    <w:multiLevelType w:val="hybridMultilevel"/>
    <w:tmpl w:val="103AD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16CAE"/>
    <w:multiLevelType w:val="hybridMultilevel"/>
    <w:tmpl w:val="2954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91B41"/>
    <w:multiLevelType w:val="hybridMultilevel"/>
    <w:tmpl w:val="5A2A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E12BF"/>
    <w:multiLevelType w:val="hybridMultilevel"/>
    <w:tmpl w:val="AAB0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B4512"/>
    <w:multiLevelType w:val="hybridMultilevel"/>
    <w:tmpl w:val="2F08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65A0E"/>
    <w:multiLevelType w:val="hybridMultilevel"/>
    <w:tmpl w:val="3A04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D6F99"/>
    <w:multiLevelType w:val="hybridMultilevel"/>
    <w:tmpl w:val="196C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63250"/>
    <w:multiLevelType w:val="hybridMultilevel"/>
    <w:tmpl w:val="41BC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7"/>
  </w:num>
  <w:num w:numId="11">
    <w:abstractNumId w:val="16"/>
  </w:num>
  <w:num w:numId="12">
    <w:abstractNumId w:val="18"/>
  </w:num>
  <w:num w:numId="13">
    <w:abstractNumId w:val="17"/>
  </w:num>
  <w:num w:numId="14">
    <w:abstractNumId w:val="1"/>
  </w:num>
  <w:num w:numId="15">
    <w:abstractNumId w:val="15"/>
  </w:num>
  <w:num w:numId="16">
    <w:abstractNumId w:val="4"/>
  </w:num>
  <w:num w:numId="17">
    <w:abstractNumId w:val="5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27"/>
    <w:rsid w:val="0004394B"/>
    <w:rsid w:val="00131E61"/>
    <w:rsid w:val="00163A1B"/>
    <w:rsid w:val="001A5BAE"/>
    <w:rsid w:val="00203313"/>
    <w:rsid w:val="002A2514"/>
    <w:rsid w:val="00336654"/>
    <w:rsid w:val="00337FEC"/>
    <w:rsid w:val="003531DC"/>
    <w:rsid w:val="003C01EF"/>
    <w:rsid w:val="003F67A5"/>
    <w:rsid w:val="00445EDF"/>
    <w:rsid w:val="004757A9"/>
    <w:rsid w:val="004D69DE"/>
    <w:rsid w:val="00523785"/>
    <w:rsid w:val="0053345F"/>
    <w:rsid w:val="00553515"/>
    <w:rsid w:val="005D342C"/>
    <w:rsid w:val="006008EA"/>
    <w:rsid w:val="00607D7F"/>
    <w:rsid w:val="006658FF"/>
    <w:rsid w:val="0066672C"/>
    <w:rsid w:val="006E4CF4"/>
    <w:rsid w:val="006E68F1"/>
    <w:rsid w:val="006E6DF5"/>
    <w:rsid w:val="00716348"/>
    <w:rsid w:val="00751CD8"/>
    <w:rsid w:val="007852CF"/>
    <w:rsid w:val="007B666A"/>
    <w:rsid w:val="007C51C6"/>
    <w:rsid w:val="007D36B5"/>
    <w:rsid w:val="00801D60"/>
    <w:rsid w:val="00832185"/>
    <w:rsid w:val="00864BD3"/>
    <w:rsid w:val="0087642E"/>
    <w:rsid w:val="00896CA2"/>
    <w:rsid w:val="00937D96"/>
    <w:rsid w:val="00A00C8E"/>
    <w:rsid w:val="00A05727"/>
    <w:rsid w:val="00A222AA"/>
    <w:rsid w:val="00A40D92"/>
    <w:rsid w:val="00A6021A"/>
    <w:rsid w:val="00A95F47"/>
    <w:rsid w:val="00AC2D9A"/>
    <w:rsid w:val="00AF0697"/>
    <w:rsid w:val="00B22A75"/>
    <w:rsid w:val="00C676B2"/>
    <w:rsid w:val="00CA295B"/>
    <w:rsid w:val="00CD74F2"/>
    <w:rsid w:val="00D00AA1"/>
    <w:rsid w:val="00D0595B"/>
    <w:rsid w:val="00D63FD1"/>
    <w:rsid w:val="00DF5D0A"/>
    <w:rsid w:val="00E44900"/>
    <w:rsid w:val="00E56F53"/>
    <w:rsid w:val="00E97AE3"/>
    <w:rsid w:val="00EE4282"/>
    <w:rsid w:val="00F407B7"/>
    <w:rsid w:val="00F743CE"/>
    <w:rsid w:val="00F82594"/>
    <w:rsid w:val="00FB5312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</w:style>
  <w:style w:type="table" w:styleId="TableGrid">
    <w:name w:val="Table Grid"/>
    <w:basedOn w:val="TableNormal"/>
    <w:uiPriority w:val="59"/>
    <w:rsid w:val="0052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FF"/>
  </w:style>
  <w:style w:type="paragraph" w:styleId="Footer">
    <w:name w:val="footer"/>
    <w:basedOn w:val="Normal"/>
    <w:link w:val="Foot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</w:style>
  <w:style w:type="table" w:styleId="TableGrid">
    <w:name w:val="Table Grid"/>
    <w:basedOn w:val="TableNormal"/>
    <w:uiPriority w:val="59"/>
    <w:rsid w:val="0052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FF"/>
  </w:style>
  <w:style w:type="paragraph" w:styleId="Footer">
    <w:name w:val="footer"/>
    <w:basedOn w:val="Normal"/>
    <w:link w:val="Foot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3E96-01B8-4342-A09F-E545DFE0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Roger</dc:creator>
  <cp:lastModifiedBy>user</cp:lastModifiedBy>
  <cp:revision>3</cp:revision>
  <dcterms:created xsi:type="dcterms:W3CDTF">2018-02-28T11:11:00Z</dcterms:created>
  <dcterms:modified xsi:type="dcterms:W3CDTF">2018-04-17T09:33:00Z</dcterms:modified>
</cp:coreProperties>
</file>