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A5" w:rsidRDefault="00A05727" w:rsidP="003F67A5">
      <w:pPr>
        <w:ind w:left="3600" w:firstLine="720"/>
        <w:jc w:val="center"/>
        <w:rPr>
          <w:u w:val="single"/>
        </w:rPr>
      </w:pPr>
      <w:r>
        <w:rPr>
          <w:b/>
          <w:noProof/>
          <w:sz w:val="40"/>
          <w:lang w:eastAsia="en-GB"/>
        </w:rPr>
        <w:drawing>
          <wp:inline distT="0" distB="0" distL="0" distR="0" wp14:anchorId="37B53997" wp14:editId="3E6F3683">
            <wp:extent cx="2990850" cy="476250"/>
            <wp:effectExtent l="0" t="0" r="0" b="0"/>
            <wp:docPr id="1"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937D96" w:rsidRPr="003F67A5" w:rsidRDefault="00237F51" w:rsidP="003F67A5">
      <w:pPr>
        <w:jc w:val="center"/>
        <w:rPr>
          <w:b/>
          <w:sz w:val="36"/>
          <w:szCs w:val="36"/>
        </w:rPr>
      </w:pPr>
      <w:r>
        <w:rPr>
          <w:b/>
          <w:sz w:val="36"/>
          <w:szCs w:val="36"/>
        </w:rPr>
        <w:t>Sweats</w:t>
      </w:r>
    </w:p>
    <w:p w:rsidR="00B32C45" w:rsidRDefault="00B32C45" w:rsidP="00B32C45">
      <w:pPr>
        <w:rPr>
          <w:b/>
          <w:sz w:val="28"/>
          <w:szCs w:val="28"/>
        </w:rPr>
      </w:pPr>
      <w:r w:rsidRPr="003F67A5">
        <w:rPr>
          <w:b/>
          <w:sz w:val="28"/>
          <w:szCs w:val="28"/>
        </w:rPr>
        <w:t>Presentation</w:t>
      </w:r>
    </w:p>
    <w:p w:rsidR="00237F51" w:rsidRPr="00237F51" w:rsidRDefault="00237F51" w:rsidP="00237F51">
      <w:r w:rsidRPr="00237F51">
        <w:t>The symptom of sweating is a common non specific complaint which may be of no pathological consequence. A serious underlying illness should be suspected when no obvious cause is apparent from the history, the sweats occur at night and are drenching in nature requiring the changing of bed sheets, they persist for more than one month or they are associated wi</w:t>
      </w:r>
      <w:r w:rsidR="00422C8C">
        <w:t>th systemic symptoms (fever&gt; 38</w:t>
      </w:r>
      <w:r w:rsidR="00422C8C" w:rsidRPr="00422C8C">
        <w:t>°</w:t>
      </w:r>
      <w:r w:rsidRPr="00237F51">
        <w:t>C or weight loss &gt; 10%).</w:t>
      </w:r>
    </w:p>
    <w:p w:rsidR="00237F51" w:rsidRPr="00237F51" w:rsidRDefault="00237F51" w:rsidP="00237F51">
      <w:r w:rsidRPr="00237F51">
        <w:t xml:space="preserve">Haematological malignancies are a rare cause of night sweats. These cases are usually associated with an abnormal blood count or additional clinical signs and symptoms of haematological malignancy. Isolated sweats in the absence of abnormal blood tests, clinical examination or systemic symptoms are unlikely to indicate an underlying haematological malignancy.  </w:t>
      </w:r>
    </w:p>
    <w:p w:rsidR="00B32C45" w:rsidRPr="00B04466" w:rsidRDefault="00B32C45" w:rsidP="00D85FEF">
      <w:r w:rsidRPr="00131E61">
        <w:rPr>
          <w:b/>
          <w:sz w:val="28"/>
          <w:szCs w:val="28"/>
        </w:rPr>
        <w:t>Causes</w:t>
      </w:r>
      <w:r>
        <w:t xml:space="preserve"> </w:t>
      </w:r>
    </w:p>
    <w:p w:rsidR="00B04466" w:rsidRPr="00B04466" w:rsidRDefault="00B04466" w:rsidP="00B04466">
      <w:r w:rsidRPr="00B04466">
        <w:t>It has a wide differential diagnosis and can be a feature of endocrine disturbance, infection, inflammatory conditions and malignancy. It can also relate to drugs, both prescribed and recreational.</w:t>
      </w:r>
    </w:p>
    <w:tbl>
      <w:tblPr>
        <w:tblStyle w:val="TableGrid"/>
        <w:tblW w:w="0" w:type="auto"/>
        <w:tblLook w:val="04A0" w:firstRow="1" w:lastRow="0" w:firstColumn="1" w:lastColumn="0" w:noHBand="0" w:noVBand="1"/>
      </w:tblPr>
      <w:tblGrid>
        <w:gridCol w:w="1988"/>
        <w:gridCol w:w="1990"/>
        <w:gridCol w:w="5264"/>
      </w:tblGrid>
      <w:tr w:rsidR="00B04466" w:rsidTr="00417BFA">
        <w:tc>
          <w:tcPr>
            <w:tcW w:w="1988" w:type="dxa"/>
            <w:vMerge w:val="restart"/>
          </w:tcPr>
          <w:p w:rsidR="00B04466" w:rsidRPr="00237F51" w:rsidRDefault="00B04466" w:rsidP="00B04466">
            <w:pPr>
              <w:jc w:val="center"/>
              <w:rPr>
                <w:sz w:val="28"/>
                <w:szCs w:val="28"/>
              </w:rPr>
            </w:pPr>
            <w:r w:rsidRPr="00237F51">
              <w:rPr>
                <w:sz w:val="28"/>
                <w:szCs w:val="28"/>
              </w:rPr>
              <w:t>Non-haematological</w:t>
            </w:r>
          </w:p>
        </w:tc>
        <w:tc>
          <w:tcPr>
            <w:tcW w:w="1990" w:type="dxa"/>
          </w:tcPr>
          <w:p w:rsidR="00B04466" w:rsidRPr="00417BFA" w:rsidRDefault="00B04466" w:rsidP="0035715D">
            <w:pPr>
              <w:pStyle w:val="Normal1"/>
              <w:spacing w:after="0"/>
            </w:pPr>
            <w:r w:rsidRPr="00417BFA">
              <w:t>Endocrine</w:t>
            </w:r>
          </w:p>
        </w:tc>
        <w:tc>
          <w:tcPr>
            <w:tcW w:w="5264" w:type="dxa"/>
          </w:tcPr>
          <w:p w:rsidR="00B04466" w:rsidRPr="00417BFA" w:rsidRDefault="00B04466" w:rsidP="00237F51">
            <w:pPr>
              <w:pStyle w:val="Normal1"/>
              <w:spacing w:after="0"/>
            </w:pPr>
            <w:r w:rsidRPr="00417BFA">
              <w:t>Low oestrogen levels (menopause), Low testosterone levels, Thyrotoxicosis, Hypoglycaemia</w:t>
            </w:r>
          </w:p>
        </w:tc>
      </w:tr>
      <w:tr w:rsidR="00B04466" w:rsidTr="00417BFA">
        <w:tc>
          <w:tcPr>
            <w:tcW w:w="1988" w:type="dxa"/>
            <w:vMerge/>
          </w:tcPr>
          <w:p w:rsidR="00B04466" w:rsidRPr="00237F51" w:rsidRDefault="00B04466" w:rsidP="00B32C45">
            <w:pPr>
              <w:rPr>
                <w:sz w:val="28"/>
                <w:szCs w:val="28"/>
              </w:rPr>
            </w:pPr>
          </w:p>
        </w:tc>
        <w:tc>
          <w:tcPr>
            <w:tcW w:w="1990" w:type="dxa"/>
          </w:tcPr>
          <w:p w:rsidR="00B04466" w:rsidRPr="0035715D" w:rsidRDefault="00B04466" w:rsidP="0035715D">
            <w:pPr>
              <w:pStyle w:val="Normal1"/>
              <w:spacing w:after="0"/>
            </w:pPr>
            <w:r w:rsidRPr="0035715D">
              <w:t>Infection</w:t>
            </w:r>
          </w:p>
        </w:tc>
        <w:tc>
          <w:tcPr>
            <w:tcW w:w="5264" w:type="dxa"/>
          </w:tcPr>
          <w:p w:rsidR="00B04466" w:rsidRPr="00237F51" w:rsidRDefault="00B04466" w:rsidP="00237F51">
            <w:pPr>
              <w:pStyle w:val="Normal1"/>
              <w:spacing w:after="0"/>
            </w:pPr>
            <w:proofErr w:type="gramStart"/>
            <w:r>
              <w:t>e.g</w:t>
            </w:r>
            <w:proofErr w:type="gramEnd"/>
            <w:r>
              <w:t>. tuberculosis, infective endocarditis, pyogenic abscess, HIV, glandular fever, osteomyelitis, fungal.</w:t>
            </w:r>
          </w:p>
        </w:tc>
      </w:tr>
      <w:tr w:rsidR="00B04466" w:rsidTr="00417BFA">
        <w:tc>
          <w:tcPr>
            <w:tcW w:w="1988" w:type="dxa"/>
            <w:vMerge/>
          </w:tcPr>
          <w:p w:rsidR="00B04466" w:rsidRPr="00237F51" w:rsidRDefault="00B04466" w:rsidP="00B32C45">
            <w:pPr>
              <w:rPr>
                <w:sz w:val="28"/>
                <w:szCs w:val="28"/>
              </w:rPr>
            </w:pPr>
          </w:p>
        </w:tc>
        <w:tc>
          <w:tcPr>
            <w:tcW w:w="1990" w:type="dxa"/>
          </w:tcPr>
          <w:p w:rsidR="00B04466" w:rsidRPr="0035715D" w:rsidRDefault="00B04466" w:rsidP="0035715D">
            <w:pPr>
              <w:pStyle w:val="Normal1"/>
              <w:spacing w:after="0"/>
            </w:pPr>
            <w:r w:rsidRPr="0035715D">
              <w:t>Autoimmune</w:t>
            </w:r>
          </w:p>
        </w:tc>
        <w:tc>
          <w:tcPr>
            <w:tcW w:w="5264" w:type="dxa"/>
          </w:tcPr>
          <w:p w:rsidR="00B04466" w:rsidRPr="00237F51" w:rsidRDefault="00422C8C" w:rsidP="00237F51">
            <w:pPr>
              <w:pStyle w:val="Normal1"/>
              <w:spacing w:after="0"/>
            </w:pPr>
            <w:r>
              <w:t>e.g.</w:t>
            </w:r>
            <w:r w:rsidR="00B04466">
              <w:t xml:space="preserve"> SLE, polymyalgia rheumatica</w:t>
            </w:r>
          </w:p>
        </w:tc>
      </w:tr>
      <w:tr w:rsidR="00B04466" w:rsidTr="00417BFA">
        <w:tc>
          <w:tcPr>
            <w:tcW w:w="1988" w:type="dxa"/>
            <w:vMerge/>
          </w:tcPr>
          <w:p w:rsidR="00B04466" w:rsidRPr="00237F51" w:rsidRDefault="00B04466" w:rsidP="00B32C45">
            <w:pPr>
              <w:rPr>
                <w:sz w:val="28"/>
                <w:szCs w:val="28"/>
              </w:rPr>
            </w:pPr>
          </w:p>
        </w:tc>
        <w:tc>
          <w:tcPr>
            <w:tcW w:w="1990" w:type="dxa"/>
          </w:tcPr>
          <w:p w:rsidR="00B04466" w:rsidRPr="0035715D" w:rsidRDefault="00B04466" w:rsidP="0035715D">
            <w:pPr>
              <w:pStyle w:val="Normal1"/>
              <w:spacing w:after="0"/>
            </w:pPr>
            <w:r>
              <w:t>Alcohol /  drugs</w:t>
            </w:r>
          </w:p>
        </w:tc>
        <w:tc>
          <w:tcPr>
            <w:tcW w:w="5264" w:type="dxa"/>
          </w:tcPr>
          <w:p w:rsidR="00B04466" w:rsidRPr="00237F51" w:rsidRDefault="00422C8C" w:rsidP="00B32C45">
            <w:pPr>
              <w:rPr>
                <w:sz w:val="28"/>
                <w:szCs w:val="28"/>
              </w:rPr>
            </w:pPr>
            <w:r>
              <w:t>e.g.</w:t>
            </w:r>
            <w:r w:rsidR="00B04466">
              <w:t xml:space="preserve"> cocaine, cannabis, opiates</w:t>
            </w:r>
          </w:p>
        </w:tc>
      </w:tr>
      <w:tr w:rsidR="00B04466" w:rsidTr="00417BFA">
        <w:tc>
          <w:tcPr>
            <w:tcW w:w="1988" w:type="dxa"/>
            <w:vMerge/>
          </w:tcPr>
          <w:p w:rsidR="00B04466" w:rsidRPr="00237F51" w:rsidRDefault="00B04466" w:rsidP="00B32C45">
            <w:pPr>
              <w:rPr>
                <w:sz w:val="28"/>
                <w:szCs w:val="28"/>
              </w:rPr>
            </w:pPr>
          </w:p>
        </w:tc>
        <w:tc>
          <w:tcPr>
            <w:tcW w:w="1990" w:type="dxa"/>
          </w:tcPr>
          <w:p w:rsidR="00B04466" w:rsidRPr="0035715D" w:rsidRDefault="00B04466" w:rsidP="0035715D">
            <w:pPr>
              <w:pStyle w:val="Normal1"/>
              <w:spacing w:after="0"/>
            </w:pPr>
            <w:r>
              <w:t>Medications</w:t>
            </w:r>
          </w:p>
        </w:tc>
        <w:tc>
          <w:tcPr>
            <w:tcW w:w="5264" w:type="dxa"/>
          </w:tcPr>
          <w:p w:rsidR="00B04466" w:rsidRPr="00237F51" w:rsidRDefault="00422C8C" w:rsidP="00B32C45">
            <w:pPr>
              <w:rPr>
                <w:sz w:val="28"/>
                <w:szCs w:val="28"/>
              </w:rPr>
            </w:pPr>
            <w:r>
              <w:t>e.g.</w:t>
            </w:r>
            <w:r w:rsidR="00B04466">
              <w:t xml:space="preserve">  antidepressants, oral </w:t>
            </w:r>
            <w:proofErr w:type="spellStart"/>
            <w:r w:rsidR="00B04466">
              <w:t>hypoglycaemics</w:t>
            </w:r>
            <w:proofErr w:type="spellEnd"/>
            <w:r w:rsidR="00B04466">
              <w:t xml:space="preserve">, steroids, opiates, </w:t>
            </w:r>
            <w:r>
              <w:t>non-steroidal</w:t>
            </w:r>
            <w:r w:rsidR="00B04466">
              <w:t xml:space="preserve"> anti-inflammatory medications, hormone receptor antagonists</w:t>
            </w:r>
          </w:p>
        </w:tc>
      </w:tr>
      <w:tr w:rsidR="00B04466" w:rsidTr="00417BFA">
        <w:tc>
          <w:tcPr>
            <w:tcW w:w="1988" w:type="dxa"/>
            <w:vMerge/>
          </w:tcPr>
          <w:p w:rsidR="00B04466" w:rsidRPr="00237F51" w:rsidRDefault="00B04466" w:rsidP="00B32C45">
            <w:pPr>
              <w:rPr>
                <w:sz w:val="28"/>
                <w:szCs w:val="28"/>
              </w:rPr>
            </w:pPr>
          </w:p>
        </w:tc>
        <w:tc>
          <w:tcPr>
            <w:tcW w:w="1990" w:type="dxa"/>
          </w:tcPr>
          <w:p w:rsidR="00B04466" w:rsidRPr="0035715D" w:rsidRDefault="00B04466" w:rsidP="0035715D">
            <w:pPr>
              <w:pStyle w:val="Normal1"/>
              <w:spacing w:after="0"/>
            </w:pPr>
            <w:r>
              <w:t>Tumours</w:t>
            </w:r>
          </w:p>
        </w:tc>
        <w:tc>
          <w:tcPr>
            <w:tcW w:w="5264" w:type="dxa"/>
          </w:tcPr>
          <w:p w:rsidR="00B04466" w:rsidRPr="0035715D" w:rsidRDefault="00422C8C" w:rsidP="0035715D">
            <w:pPr>
              <w:pStyle w:val="Normal1"/>
              <w:spacing w:after="0"/>
            </w:pPr>
            <w:r>
              <w:t>e.g.</w:t>
            </w:r>
            <w:r w:rsidR="00B04466">
              <w:t xml:space="preserve"> oat cell carcinoma, mesothelioma, carcinoid, </w:t>
            </w:r>
            <w:r>
              <w:t>phaeochromocytoma</w:t>
            </w:r>
          </w:p>
        </w:tc>
      </w:tr>
      <w:tr w:rsidR="00B04466" w:rsidTr="00417BFA">
        <w:tc>
          <w:tcPr>
            <w:tcW w:w="1988" w:type="dxa"/>
            <w:vMerge/>
          </w:tcPr>
          <w:p w:rsidR="00B04466" w:rsidRPr="00237F51" w:rsidRDefault="00B04466" w:rsidP="00B32C45">
            <w:pPr>
              <w:rPr>
                <w:sz w:val="28"/>
                <w:szCs w:val="28"/>
              </w:rPr>
            </w:pPr>
          </w:p>
        </w:tc>
        <w:tc>
          <w:tcPr>
            <w:tcW w:w="1990" w:type="dxa"/>
          </w:tcPr>
          <w:p w:rsidR="00B04466" w:rsidRPr="0035715D" w:rsidRDefault="00B04466" w:rsidP="00B04466">
            <w:pPr>
              <w:pStyle w:val="Normal1"/>
              <w:spacing w:after="0"/>
            </w:pPr>
            <w:r>
              <w:t xml:space="preserve">Neurological </w:t>
            </w:r>
          </w:p>
        </w:tc>
        <w:tc>
          <w:tcPr>
            <w:tcW w:w="5264" w:type="dxa"/>
          </w:tcPr>
          <w:p w:rsidR="00B04466" w:rsidRPr="00237F51" w:rsidRDefault="00422C8C" w:rsidP="00B32C45">
            <w:pPr>
              <w:rPr>
                <w:sz w:val="28"/>
                <w:szCs w:val="28"/>
              </w:rPr>
            </w:pPr>
            <w:r>
              <w:t>e.g.</w:t>
            </w:r>
            <w:r w:rsidR="00B04466">
              <w:t xml:space="preserve"> syringomyelia, autonomic neuropathy</w:t>
            </w:r>
          </w:p>
        </w:tc>
      </w:tr>
      <w:tr w:rsidR="00B04466" w:rsidTr="00417BFA">
        <w:tc>
          <w:tcPr>
            <w:tcW w:w="1988" w:type="dxa"/>
            <w:vMerge/>
          </w:tcPr>
          <w:p w:rsidR="00B04466" w:rsidRPr="00237F51" w:rsidRDefault="00B04466" w:rsidP="00B32C45">
            <w:pPr>
              <w:rPr>
                <w:sz w:val="28"/>
                <w:szCs w:val="28"/>
              </w:rPr>
            </w:pPr>
          </w:p>
        </w:tc>
        <w:tc>
          <w:tcPr>
            <w:tcW w:w="1990" w:type="dxa"/>
          </w:tcPr>
          <w:p w:rsidR="00B04466" w:rsidRPr="0035715D" w:rsidRDefault="00B04466" w:rsidP="0035715D">
            <w:pPr>
              <w:pStyle w:val="Normal1"/>
              <w:spacing w:after="0"/>
            </w:pPr>
            <w:r>
              <w:t>Others</w:t>
            </w:r>
          </w:p>
        </w:tc>
        <w:tc>
          <w:tcPr>
            <w:tcW w:w="5264" w:type="dxa"/>
          </w:tcPr>
          <w:p w:rsidR="00B04466" w:rsidRPr="0035715D" w:rsidRDefault="00B04466" w:rsidP="0035715D">
            <w:pPr>
              <w:pStyle w:val="Normal1"/>
              <w:spacing w:after="0"/>
            </w:pPr>
            <w:r>
              <w:t>Anxiety, Hyperhidrosis, Gastro-oesophageal reflux disease, Obstructive sleep apnoea.</w:t>
            </w:r>
          </w:p>
        </w:tc>
      </w:tr>
      <w:tr w:rsidR="00417BFA" w:rsidTr="00417BFA">
        <w:tc>
          <w:tcPr>
            <w:tcW w:w="1988" w:type="dxa"/>
          </w:tcPr>
          <w:p w:rsidR="00417BFA" w:rsidRPr="00237F51" w:rsidRDefault="00417BFA" w:rsidP="00B32C45">
            <w:pPr>
              <w:rPr>
                <w:sz w:val="28"/>
                <w:szCs w:val="28"/>
              </w:rPr>
            </w:pPr>
            <w:r w:rsidRPr="0035715D">
              <w:rPr>
                <w:sz w:val="28"/>
                <w:szCs w:val="28"/>
              </w:rPr>
              <w:t>Haematological</w:t>
            </w:r>
          </w:p>
        </w:tc>
        <w:tc>
          <w:tcPr>
            <w:tcW w:w="1990" w:type="dxa"/>
          </w:tcPr>
          <w:p w:rsidR="00417BFA" w:rsidRDefault="00417BFA" w:rsidP="00D64D7F">
            <w:pPr>
              <w:pStyle w:val="Normal1"/>
              <w:widowControl w:val="0"/>
              <w:spacing w:after="0" w:line="240" w:lineRule="auto"/>
            </w:pPr>
            <w:r>
              <w:t>Myeloproliferative disorder</w:t>
            </w:r>
          </w:p>
        </w:tc>
        <w:tc>
          <w:tcPr>
            <w:tcW w:w="5264" w:type="dxa"/>
          </w:tcPr>
          <w:p w:rsidR="00417BFA" w:rsidRDefault="00417BFA" w:rsidP="00D64D7F">
            <w:pPr>
              <w:pStyle w:val="Normal1"/>
              <w:widowControl w:val="0"/>
              <w:spacing w:after="0" w:line="240" w:lineRule="auto"/>
            </w:pPr>
            <w:r>
              <w:t xml:space="preserve">Association: Abnormal FBC and film: Raised Hb and/ or leucocytosis/ and or thrombocytosis OR </w:t>
            </w:r>
            <w:proofErr w:type="spellStart"/>
            <w:r>
              <w:t>leuco-erythroblastic</w:t>
            </w:r>
            <w:proofErr w:type="spellEnd"/>
            <w:r>
              <w:t xml:space="preserve"> blood film. </w:t>
            </w:r>
            <w:r w:rsidR="00422C8C">
              <w:t>Pruritus</w:t>
            </w:r>
            <w:r>
              <w:t xml:space="preserve"> may be a feature.</w:t>
            </w:r>
          </w:p>
        </w:tc>
      </w:tr>
      <w:tr w:rsidR="00417BFA" w:rsidTr="00417BFA">
        <w:tc>
          <w:tcPr>
            <w:tcW w:w="1988" w:type="dxa"/>
          </w:tcPr>
          <w:p w:rsidR="00417BFA" w:rsidRPr="0035715D" w:rsidRDefault="00417BFA" w:rsidP="00B32C45">
            <w:pPr>
              <w:rPr>
                <w:sz w:val="28"/>
                <w:szCs w:val="28"/>
              </w:rPr>
            </w:pPr>
          </w:p>
        </w:tc>
        <w:tc>
          <w:tcPr>
            <w:tcW w:w="1990" w:type="dxa"/>
          </w:tcPr>
          <w:p w:rsidR="00417BFA" w:rsidRDefault="00417BFA" w:rsidP="00D64D7F">
            <w:pPr>
              <w:pStyle w:val="Normal1"/>
              <w:widowControl w:val="0"/>
              <w:spacing w:after="0" w:line="240" w:lineRule="auto"/>
            </w:pPr>
            <w:r>
              <w:t>Low grade lymphoproliferative disorder</w:t>
            </w:r>
          </w:p>
        </w:tc>
        <w:tc>
          <w:tcPr>
            <w:tcW w:w="5264" w:type="dxa"/>
          </w:tcPr>
          <w:p w:rsidR="00417BFA" w:rsidRDefault="00417BFA" w:rsidP="00D64D7F">
            <w:pPr>
              <w:pStyle w:val="Normal1"/>
              <w:widowControl w:val="0"/>
              <w:spacing w:after="0" w:line="240" w:lineRule="auto"/>
            </w:pPr>
            <w:r>
              <w:t>Association: Abnormal FBC and film: Lymphocytosis</w:t>
            </w:r>
          </w:p>
        </w:tc>
      </w:tr>
      <w:tr w:rsidR="00417BFA" w:rsidTr="00417BFA">
        <w:tc>
          <w:tcPr>
            <w:tcW w:w="1988" w:type="dxa"/>
          </w:tcPr>
          <w:p w:rsidR="00417BFA" w:rsidRPr="0035715D" w:rsidRDefault="00417BFA" w:rsidP="00B32C45">
            <w:pPr>
              <w:rPr>
                <w:sz w:val="28"/>
                <w:szCs w:val="28"/>
              </w:rPr>
            </w:pPr>
          </w:p>
        </w:tc>
        <w:tc>
          <w:tcPr>
            <w:tcW w:w="1990" w:type="dxa"/>
          </w:tcPr>
          <w:p w:rsidR="00417BFA" w:rsidRDefault="00417BFA" w:rsidP="00D64D7F">
            <w:pPr>
              <w:pStyle w:val="Normal1"/>
              <w:widowControl w:val="0"/>
              <w:spacing w:after="0" w:line="240" w:lineRule="auto"/>
            </w:pPr>
            <w:r>
              <w:t>Lymphoma</w:t>
            </w:r>
          </w:p>
          <w:p w:rsidR="00417BFA" w:rsidRDefault="00417BFA" w:rsidP="00D64D7F">
            <w:pPr>
              <w:pStyle w:val="Normal1"/>
              <w:widowControl w:val="0"/>
              <w:spacing w:after="0" w:line="240" w:lineRule="auto"/>
            </w:pPr>
          </w:p>
        </w:tc>
        <w:tc>
          <w:tcPr>
            <w:tcW w:w="5264" w:type="dxa"/>
          </w:tcPr>
          <w:p w:rsidR="00417BFA" w:rsidRDefault="00417BFA" w:rsidP="00D64D7F">
            <w:pPr>
              <w:pStyle w:val="Normal1"/>
              <w:widowControl w:val="0"/>
              <w:spacing w:after="0" w:line="240" w:lineRule="auto"/>
            </w:pPr>
            <w:r>
              <w:t xml:space="preserve">Lymphadenopathy and/ or hepatosplenomegaly and/ or systemic symptoms. </w:t>
            </w:r>
            <w:r w:rsidRPr="00417BFA">
              <w:t>*Sweats are a feature of advanced disease usually relating to tumour bulk</w:t>
            </w:r>
            <w:r>
              <w:t>.</w:t>
            </w:r>
          </w:p>
        </w:tc>
      </w:tr>
    </w:tbl>
    <w:p w:rsidR="00B32C45" w:rsidRDefault="0026294D" w:rsidP="0026294D">
      <w:pPr>
        <w:ind w:left="3600" w:firstLine="720"/>
        <w:rPr>
          <w:b/>
          <w:sz w:val="28"/>
          <w:szCs w:val="28"/>
          <w:u w:val="single"/>
        </w:rPr>
      </w:pPr>
      <w:r>
        <w:rPr>
          <w:b/>
          <w:noProof/>
          <w:sz w:val="40"/>
          <w:lang w:eastAsia="en-GB"/>
        </w:rPr>
        <w:lastRenderedPageBreak/>
        <w:drawing>
          <wp:inline distT="0" distB="0" distL="0" distR="0" wp14:anchorId="7C5183C4" wp14:editId="5E38EA44">
            <wp:extent cx="2990850" cy="476250"/>
            <wp:effectExtent l="0" t="0" r="0" b="0"/>
            <wp:docPr id="2" name="Picture 2"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7B1F34" w:rsidRPr="00E97AE3" w:rsidRDefault="007B1F34" w:rsidP="007B1F34">
      <w:pPr>
        <w:rPr>
          <w:b/>
          <w:sz w:val="28"/>
          <w:szCs w:val="28"/>
        </w:rPr>
      </w:pPr>
      <w:r w:rsidRPr="00E97AE3">
        <w:rPr>
          <w:b/>
          <w:sz w:val="28"/>
          <w:szCs w:val="28"/>
        </w:rPr>
        <w:t>History</w:t>
      </w:r>
    </w:p>
    <w:p w:rsidR="00FD04CF" w:rsidRDefault="00FD04CF" w:rsidP="00FD04CF">
      <w:pPr>
        <w:pStyle w:val="Normal1"/>
        <w:numPr>
          <w:ilvl w:val="0"/>
          <w:numId w:val="17"/>
        </w:numPr>
        <w:spacing w:after="0"/>
      </w:pPr>
      <w:r>
        <w:t xml:space="preserve">Clinical history including drug history, menstrual history, family history, travel history, occupational history, animal exposure, sleep history </w:t>
      </w:r>
    </w:p>
    <w:p w:rsidR="00FD04CF" w:rsidRDefault="00FD04CF" w:rsidP="00FD04CF">
      <w:pPr>
        <w:pStyle w:val="Normal1"/>
        <w:numPr>
          <w:ilvl w:val="0"/>
          <w:numId w:val="17"/>
        </w:numPr>
        <w:spacing w:after="0"/>
      </w:pPr>
      <w:r>
        <w:t xml:space="preserve">Assess for localising symptoms of infection and symptoms of inflammatory and malignant disorders including cough, haemoptysis, abdominal pain, diarrhoea, </w:t>
      </w:r>
      <w:r w:rsidR="00422C8C">
        <w:t>arthralgia</w:t>
      </w:r>
      <w:r>
        <w:t xml:space="preserve">, </w:t>
      </w:r>
      <w:r w:rsidR="00422C8C">
        <w:t>pruritus</w:t>
      </w:r>
    </w:p>
    <w:p w:rsidR="00FD04CF" w:rsidRDefault="00FD04CF" w:rsidP="00FD04CF">
      <w:pPr>
        <w:pStyle w:val="Normal1"/>
        <w:numPr>
          <w:ilvl w:val="0"/>
          <w:numId w:val="17"/>
        </w:numPr>
        <w:spacing w:after="0"/>
      </w:pPr>
      <w:r>
        <w:t>Assess for presence of systemic symptoms: fever &gt; 38’C, weight loss &gt; 10%</w:t>
      </w:r>
    </w:p>
    <w:p w:rsidR="007B1F34" w:rsidRPr="007B1F34" w:rsidRDefault="007B1F34" w:rsidP="007B1F34">
      <w:pPr>
        <w:spacing w:after="0" w:line="240" w:lineRule="auto"/>
      </w:pPr>
    </w:p>
    <w:p w:rsidR="007B1F34" w:rsidRPr="00E97AE3" w:rsidRDefault="007B1F34" w:rsidP="007B1F34">
      <w:pPr>
        <w:rPr>
          <w:b/>
          <w:sz w:val="28"/>
          <w:szCs w:val="28"/>
        </w:rPr>
      </w:pPr>
      <w:r w:rsidRPr="00E97AE3">
        <w:rPr>
          <w:b/>
          <w:sz w:val="28"/>
          <w:szCs w:val="28"/>
        </w:rPr>
        <w:t>Symptoms and Signs</w:t>
      </w:r>
    </w:p>
    <w:p w:rsidR="00FD04CF" w:rsidRDefault="00FD04CF" w:rsidP="00FD04CF">
      <w:pPr>
        <w:pStyle w:val="Normal1"/>
        <w:numPr>
          <w:ilvl w:val="0"/>
          <w:numId w:val="18"/>
        </w:numPr>
        <w:spacing w:after="0"/>
      </w:pPr>
      <w:r>
        <w:t>Baseline observations including blood pressure, pulse, temperature.</w:t>
      </w:r>
    </w:p>
    <w:p w:rsidR="007B1F34" w:rsidRDefault="00FD04CF" w:rsidP="007B1F34">
      <w:pPr>
        <w:pStyle w:val="Normal1"/>
        <w:numPr>
          <w:ilvl w:val="0"/>
          <w:numId w:val="18"/>
        </w:numPr>
        <w:spacing w:after="0"/>
      </w:pPr>
      <w:r>
        <w:t>Assess for lymphadenopathy, hepatosplenomegaly, tremor, heart murmur, splinter haemorrhages, localising signs of infection, skin rash, joint swelling.</w:t>
      </w:r>
    </w:p>
    <w:p w:rsidR="00FD04CF" w:rsidRPr="00FD04CF" w:rsidRDefault="00FD04CF" w:rsidP="00FD04CF">
      <w:pPr>
        <w:pStyle w:val="Normal1"/>
        <w:spacing w:after="0"/>
        <w:ind w:left="720"/>
      </w:pPr>
    </w:p>
    <w:p w:rsidR="007B1F34" w:rsidRDefault="007B1F34" w:rsidP="007B1F34">
      <w:pPr>
        <w:rPr>
          <w:b/>
          <w:sz w:val="28"/>
          <w:szCs w:val="28"/>
        </w:rPr>
      </w:pPr>
      <w:r w:rsidRPr="00A222AA">
        <w:rPr>
          <w:b/>
          <w:sz w:val="28"/>
          <w:szCs w:val="28"/>
        </w:rPr>
        <w:t>Investigations</w:t>
      </w:r>
    </w:p>
    <w:p w:rsidR="00FD04CF" w:rsidRPr="0026294D" w:rsidRDefault="00FD04CF" w:rsidP="00FD04CF">
      <w:pPr>
        <w:pStyle w:val="Normal1"/>
        <w:spacing w:after="0"/>
      </w:pPr>
      <w:r>
        <w:t xml:space="preserve">Investigations should be guided by the history and examination findings </w:t>
      </w:r>
    </w:p>
    <w:tbl>
      <w:tblPr>
        <w:tblW w:w="902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892"/>
        <w:gridCol w:w="6134"/>
      </w:tblGrid>
      <w:tr w:rsidR="00FD04CF" w:rsidTr="004D452B">
        <w:tc>
          <w:tcPr>
            <w:tcW w:w="2892" w:type="dxa"/>
            <w:tcMar>
              <w:top w:w="100" w:type="dxa"/>
              <w:left w:w="100" w:type="dxa"/>
              <w:bottom w:w="100" w:type="dxa"/>
              <w:right w:w="100" w:type="dxa"/>
            </w:tcMar>
          </w:tcPr>
          <w:p w:rsidR="00FD04CF" w:rsidRPr="003562A0" w:rsidRDefault="00FD04CF" w:rsidP="00D64D7F">
            <w:pPr>
              <w:pStyle w:val="Normal1"/>
              <w:widowControl w:val="0"/>
              <w:spacing w:after="0" w:line="240" w:lineRule="auto"/>
              <w:rPr>
                <w:u w:val="single"/>
              </w:rPr>
            </w:pPr>
            <w:r w:rsidRPr="003562A0">
              <w:rPr>
                <w:u w:val="single"/>
              </w:rPr>
              <w:t xml:space="preserve">Initial </w:t>
            </w:r>
            <w:proofErr w:type="spellStart"/>
            <w:r w:rsidRPr="003562A0">
              <w:rPr>
                <w:u w:val="single"/>
              </w:rPr>
              <w:t>lnvestigations</w:t>
            </w:r>
            <w:proofErr w:type="spellEnd"/>
          </w:p>
        </w:tc>
        <w:tc>
          <w:tcPr>
            <w:tcW w:w="6134" w:type="dxa"/>
            <w:tcMar>
              <w:top w:w="100" w:type="dxa"/>
              <w:left w:w="100" w:type="dxa"/>
              <w:bottom w:w="100" w:type="dxa"/>
              <w:right w:w="100" w:type="dxa"/>
            </w:tcMar>
          </w:tcPr>
          <w:p w:rsidR="00FD04CF" w:rsidRPr="003562A0" w:rsidRDefault="00FD04CF" w:rsidP="00D64D7F">
            <w:pPr>
              <w:pStyle w:val="Normal1"/>
              <w:widowControl w:val="0"/>
              <w:spacing w:after="0" w:line="240" w:lineRule="auto"/>
              <w:rPr>
                <w:u w:val="single"/>
              </w:rPr>
            </w:pPr>
            <w:r w:rsidRPr="003562A0">
              <w:rPr>
                <w:u w:val="single"/>
              </w:rPr>
              <w:t>Investigations to consider</w:t>
            </w:r>
          </w:p>
        </w:tc>
      </w:tr>
      <w:tr w:rsidR="00FD04CF" w:rsidTr="004D452B">
        <w:tc>
          <w:tcPr>
            <w:tcW w:w="2892" w:type="dxa"/>
            <w:tcMar>
              <w:top w:w="100" w:type="dxa"/>
              <w:left w:w="100" w:type="dxa"/>
              <w:bottom w:w="100" w:type="dxa"/>
              <w:right w:w="100" w:type="dxa"/>
            </w:tcMar>
          </w:tcPr>
          <w:p w:rsidR="00FD04CF" w:rsidRDefault="00FD04CF" w:rsidP="00D64D7F">
            <w:pPr>
              <w:pStyle w:val="Normal1"/>
              <w:widowControl w:val="0"/>
              <w:spacing w:after="0" w:line="240" w:lineRule="auto"/>
            </w:pPr>
            <w:r>
              <w:t>FBC and blood film</w:t>
            </w:r>
          </w:p>
        </w:tc>
        <w:tc>
          <w:tcPr>
            <w:tcW w:w="6134" w:type="dxa"/>
            <w:tcMar>
              <w:top w:w="100" w:type="dxa"/>
              <w:left w:w="100" w:type="dxa"/>
              <w:bottom w:w="100" w:type="dxa"/>
              <w:right w:w="100" w:type="dxa"/>
            </w:tcMar>
          </w:tcPr>
          <w:p w:rsidR="00FD04CF" w:rsidRDefault="004D452B" w:rsidP="00D64D7F">
            <w:pPr>
              <w:pStyle w:val="Normal1"/>
              <w:widowControl w:val="0"/>
              <w:spacing w:after="0" w:line="240" w:lineRule="auto"/>
            </w:pPr>
            <w:r>
              <w:t xml:space="preserve">Oestrogen/ Testosterone / </w:t>
            </w:r>
            <w:r w:rsidR="00FD04CF">
              <w:t>LH</w:t>
            </w:r>
            <w:r>
              <w:t xml:space="preserve"> </w:t>
            </w:r>
            <w:r w:rsidR="00FD04CF">
              <w:t>/FSH</w:t>
            </w:r>
            <w:r>
              <w:t xml:space="preserve"> / </w:t>
            </w:r>
            <w:r w:rsidRPr="004D452B">
              <w:t>cortisol</w:t>
            </w:r>
            <w:r>
              <w:t xml:space="preserve"> </w:t>
            </w:r>
            <w:r w:rsidRPr="004D452B">
              <w:t>/5-HIAA</w:t>
            </w:r>
            <w:r>
              <w:t xml:space="preserve"> </w:t>
            </w:r>
            <w:r w:rsidRPr="004D452B">
              <w:t>/</w:t>
            </w:r>
            <w:r>
              <w:t xml:space="preserve"> </w:t>
            </w:r>
            <w:r w:rsidRPr="004D452B">
              <w:t>c</w:t>
            </w:r>
            <w:r>
              <w:t xml:space="preserve">atecholamines / </w:t>
            </w:r>
            <w:r w:rsidRPr="004D452B">
              <w:t>prolactin</w:t>
            </w:r>
          </w:p>
        </w:tc>
      </w:tr>
      <w:tr w:rsidR="00FD04CF" w:rsidTr="004D452B">
        <w:tc>
          <w:tcPr>
            <w:tcW w:w="2892" w:type="dxa"/>
            <w:tcMar>
              <w:top w:w="100" w:type="dxa"/>
              <w:left w:w="100" w:type="dxa"/>
              <w:bottom w:w="100" w:type="dxa"/>
              <w:right w:w="100" w:type="dxa"/>
            </w:tcMar>
          </w:tcPr>
          <w:p w:rsidR="00FD04CF" w:rsidRDefault="00FD04CF" w:rsidP="00D64D7F">
            <w:pPr>
              <w:pStyle w:val="Normal1"/>
              <w:widowControl w:val="0"/>
              <w:spacing w:after="0" w:line="240" w:lineRule="auto"/>
            </w:pPr>
            <w:r>
              <w:t>ESR/ CRP</w:t>
            </w:r>
          </w:p>
        </w:tc>
        <w:tc>
          <w:tcPr>
            <w:tcW w:w="6134" w:type="dxa"/>
            <w:tcMar>
              <w:top w:w="100" w:type="dxa"/>
              <w:left w:w="100" w:type="dxa"/>
              <w:bottom w:w="100" w:type="dxa"/>
              <w:right w:w="100" w:type="dxa"/>
            </w:tcMar>
          </w:tcPr>
          <w:p w:rsidR="00FD04CF" w:rsidRDefault="00FD04CF" w:rsidP="00D64D7F">
            <w:pPr>
              <w:pStyle w:val="Normal1"/>
              <w:widowControl w:val="0"/>
              <w:spacing w:after="0" w:line="240" w:lineRule="auto"/>
            </w:pPr>
            <w:r>
              <w:t>Bacterial cultures: MSU/ Sputum / Stool/ Blood</w:t>
            </w:r>
          </w:p>
        </w:tc>
      </w:tr>
      <w:tr w:rsidR="00FD04CF" w:rsidTr="004D452B">
        <w:tc>
          <w:tcPr>
            <w:tcW w:w="2892" w:type="dxa"/>
            <w:tcMar>
              <w:top w:w="100" w:type="dxa"/>
              <w:left w:w="100" w:type="dxa"/>
              <w:bottom w:w="100" w:type="dxa"/>
              <w:right w:w="100" w:type="dxa"/>
            </w:tcMar>
          </w:tcPr>
          <w:p w:rsidR="00FD04CF" w:rsidRDefault="00FD04CF" w:rsidP="00D64D7F">
            <w:pPr>
              <w:pStyle w:val="Normal1"/>
              <w:widowControl w:val="0"/>
              <w:spacing w:after="0" w:line="240" w:lineRule="auto"/>
            </w:pPr>
            <w:r>
              <w:t>U+E/LFT</w:t>
            </w:r>
          </w:p>
        </w:tc>
        <w:tc>
          <w:tcPr>
            <w:tcW w:w="6134" w:type="dxa"/>
            <w:tcMar>
              <w:top w:w="100" w:type="dxa"/>
              <w:left w:w="100" w:type="dxa"/>
              <w:bottom w:w="100" w:type="dxa"/>
              <w:right w:w="100" w:type="dxa"/>
            </w:tcMar>
          </w:tcPr>
          <w:p w:rsidR="00FD04CF" w:rsidRDefault="00FD04CF" w:rsidP="00D64D7F">
            <w:pPr>
              <w:pStyle w:val="Normal1"/>
              <w:widowControl w:val="0"/>
              <w:spacing w:after="0" w:line="240" w:lineRule="auto"/>
            </w:pPr>
            <w:r>
              <w:t>HIV, Hepatitis B/C, EBV</w:t>
            </w:r>
            <w:r w:rsidR="004D452B">
              <w:t>, CMV</w:t>
            </w:r>
          </w:p>
        </w:tc>
      </w:tr>
      <w:tr w:rsidR="00FD04CF" w:rsidTr="004D452B">
        <w:tc>
          <w:tcPr>
            <w:tcW w:w="2892" w:type="dxa"/>
            <w:tcMar>
              <w:top w:w="100" w:type="dxa"/>
              <w:left w:w="100" w:type="dxa"/>
              <w:bottom w:w="100" w:type="dxa"/>
              <w:right w:w="100" w:type="dxa"/>
            </w:tcMar>
          </w:tcPr>
          <w:p w:rsidR="00FD04CF" w:rsidRDefault="00FD04CF" w:rsidP="00D64D7F">
            <w:pPr>
              <w:pStyle w:val="Normal1"/>
              <w:widowControl w:val="0"/>
              <w:spacing w:after="0" w:line="240" w:lineRule="auto"/>
            </w:pPr>
            <w:r>
              <w:t>Glucose/ HbA1c</w:t>
            </w:r>
          </w:p>
        </w:tc>
        <w:tc>
          <w:tcPr>
            <w:tcW w:w="6134" w:type="dxa"/>
            <w:tcMar>
              <w:top w:w="100" w:type="dxa"/>
              <w:left w:w="100" w:type="dxa"/>
              <w:bottom w:w="100" w:type="dxa"/>
              <w:right w:w="100" w:type="dxa"/>
            </w:tcMar>
          </w:tcPr>
          <w:p w:rsidR="00FD04CF" w:rsidRDefault="00FD04CF" w:rsidP="00D64D7F">
            <w:pPr>
              <w:pStyle w:val="Normal1"/>
              <w:widowControl w:val="0"/>
              <w:spacing w:after="0" w:line="240" w:lineRule="auto"/>
            </w:pPr>
            <w:r>
              <w:t xml:space="preserve"> ANA, antiphospholipid antibodies</w:t>
            </w:r>
          </w:p>
        </w:tc>
      </w:tr>
      <w:tr w:rsidR="00FD04CF" w:rsidTr="004D452B">
        <w:tc>
          <w:tcPr>
            <w:tcW w:w="2892" w:type="dxa"/>
            <w:tcMar>
              <w:top w:w="100" w:type="dxa"/>
              <w:left w:w="100" w:type="dxa"/>
              <w:bottom w:w="100" w:type="dxa"/>
              <w:right w:w="100" w:type="dxa"/>
            </w:tcMar>
          </w:tcPr>
          <w:p w:rsidR="00FD04CF" w:rsidRDefault="00FD04CF" w:rsidP="00D64D7F">
            <w:pPr>
              <w:pStyle w:val="Normal1"/>
              <w:widowControl w:val="0"/>
              <w:spacing w:after="0" w:line="240" w:lineRule="auto"/>
            </w:pPr>
            <w:r>
              <w:t>TFT</w:t>
            </w:r>
          </w:p>
        </w:tc>
        <w:tc>
          <w:tcPr>
            <w:tcW w:w="6134" w:type="dxa"/>
            <w:tcMar>
              <w:top w:w="100" w:type="dxa"/>
              <w:left w:w="100" w:type="dxa"/>
              <w:bottom w:w="100" w:type="dxa"/>
              <w:right w:w="100" w:type="dxa"/>
            </w:tcMar>
          </w:tcPr>
          <w:p w:rsidR="00FD04CF" w:rsidRDefault="004D452B" w:rsidP="00422C8C">
            <w:pPr>
              <w:pStyle w:val="Normal1"/>
              <w:widowControl w:val="0"/>
              <w:spacing w:after="0" w:line="240" w:lineRule="auto"/>
            </w:pPr>
            <w:r>
              <w:t>TB</w:t>
            </w:r>
            <w:r w:rsidR="009245C4">
              <w:t xml:space="preserve">  / Brucella</w:t>
            </w:r>
            <w:r>
              <w:t xml:space="preserve"> / </w:t>
            </w:r>
            <w:r w:rsidR="009245C4">
              <w:t xml:space="preserve"> </w:t>
            </w:r>
            <w:r w:rsidRPr="004D452B">
              <w:t>toxo</w:t>
            </w:r>
            <w:r>
              <w:t xml:space="preserve">plasmosis </w:t>
            </w:r>
            <w:r w:rsidRPr="004D452B">
              <w:t>/</w:t>
            </w:r>
            <w:r w:rsidR="00422C8C">
              <w:t xml:space="preserve"> </w:t>
            </w:r>
            <w:proofErr w:type="spellStart"/>
            <w:r w:rsidR="00422C8C">
              <w:t>B</w:t>
            </w:r>
            <w:r w:rsidRPr="004D452B">
              <w:t>artonella</w:t>
            </w:r>
            <w:proofErr w:type="spellEnd"/>
            <w:r w:rsidR="00422C8C">
              <w:t xml:space="preserve"> </w:t>
            </w:r>
            <w:r w:rsidRPr="004D452B">
              <w:t>/</w:t>
            </w:r>
            <w:r w:rsidR="00422C8C">
              <w:t xml:space="preserve"> Lyme </w:t>
            </w:r>
            <w:r w:rsidR="009245C4">
              <w:t>serology</w:t>
            </w:r>
          </w:p>
        </w:tc>
      </w:tr>
      <w:tr w:rsidR="00FD04CF" w:rsidTr="004D452B">
        <w:tc>
          <w:tcPr>
            <w:tcW w:w="2892" w:type="dxa"/>
            <w:tcMar>
              <w:top w:w="100" w:type="dxa"/>
              <w:left w:w="100" w:type="dxa"/>
              <w:bottom w:w="100" w:type="dxa"/>
              <w:right w:w="100" w:type="dxa"/>
            </w:tcMar>
          </w:tcPr>
          <w:p w:rsidR="00FD04CF" w:rsidRDefault="00FD04CF" w:rsidP="00D64D7F">
            <w:pPr>
              <w:pStyle w:val="Normal1"/>
              <w:widowControl w:val="0"/>
              <w:spacing w:after="0" w:line="240" w:lineRule="auto"/>
            </w:pPr>
            <w:r>
              <w:t>CXR</w:t>
            </w:r>
          </w:p>
        </w:tc>
        <w:tc>
          <w:tcPr>
            <w:tcW w:w="6134" w:type="dxa"/>
            <w:tcMar>
              <w:top w:w="100" w:type="dxa"/>
              <w:left w:w="100" w:type="dxa"/>
              <w:bottom w:w="100" w:type="dxa"/>
              <w:right w:w="100" w:type="dxa"/>
            </w:tcMar>
          </w:tcPr>
          <w:p w:rsidR="00FD04CF" w:rsidRDefault="009245C4" w:rsidP="00D64D7F">
            <w:pPr>
              <w:pStyle w:val="Normal1"/>
              <w:widowControl w:val="0"/>
              <w:spacing w:after="0" w:line="240" w:lineRule="auto"/>
            </w:pPr>
            <w:r w:rsidRPr="009245C4">
              <w:t xml:space="preserve">Serum </w:t>
            </w:r>
            <w:proofErr w:type="spellStart"/>
            <w:r w:rsidRPr="009245C4">
              <w:t>Igs</w:t>
            </w:r>
            <w:proofErr w:type="spellEnd"/>
            <w:r w:rsidRPr="009245C4">
              <w:t>/ protein electrophoresis</w:t>
            </w:r>
          </w:p>
        </w:tc>
      </w:tr>
    </w:tbl>
    <w:p w:rsidR="00FD04CF" w:rsidRDefault="00FD04CF" w:rsidP="00FD04CF">
      <w:pPr>
        <w:pStyle w:val="Normal1"/>
        <w:spacing w:after="0"/>
      </w:pPr>
    </w:p>
    <w:p w:rsidR="007B1F34" w:rsidRPr="002A2514" w:rsidRDefault="007B1F34" w:rsidP="007B1F34">
      <w:pPr>
        <w:rPr>
          <w:b/>
          <w:sz w:val="28"/>
          <w:szCs w:val="28"/>
        </w:rPr>
      </w:pPr>
      <w:r w:rsidRPr="002A2514">
        <w:rPr>
          <w:b/>
          <w:sz w:val="28"/>
          <w:szCs w:val="28"/>
        </w:rPr>
        <w:t>Referral</w:t>
      </w:r>
    </w:p>
    <w:p w:rsidR="0026294D" w:rsidRPr="0026294D" w:rsidRDefault="0026294D" w:rsidP="0026294D">
      <w:pPr>
        <w:numPr>
          <w:ilvl w:val="0"/>
          <w:numId w:val="19"/>
        </w:numPr>
        <w:spacing w:after="0" w:line="259" w:lineRule="auto"/>
        <w:contextualSpacing/>
        <w:rPr>
          <w:rFonts w:ascii="Calibri" w:eastAsia="Calibri" w:hAnsi="Calibri" w:cs="Calibri"/>
          <w:color w:val="000000"/>
          <w:lang w:eastAsia="en-GB"/>
        </w:rPr>
      </w:pPr>
      <w:r w:rsidRPr="0026294D">
        <w:rPr>
          <w:rFonts w:ascii="Calibri" w:eastAsia="Calibri" w:hAnsi="Calibri" w:cs="Calibri"/>
          <w:color w:val="000000"/>
          <w:lang w:eastAsia="en-GB"/>
        </w:rPr>
        <w:t>Drenching night sweats in combination wit</w:t>
      </w:r>
      <w:r w:rsidR="00422C8C">
        <w:rPr>
          <w:rFonts w:ascii="Calibri" w:eastAsia="Calibri" w:hAnsi="Calibri" w:cs="Calibri"/>
          <w:color w:val="000000"/>
          <w:lang w:eastAsia="en-GB"/>
        </w:rPr>
        <w:t>h systemic symptoms (fever &gt; 38°</w:t>
      </w:r>
      <w:r w:rsidRPr="0026294D">
        <w:rPr>
          <w:rFonts w:ascii="Calibri" w:eastAsia="Calibri" w:hAnsi="Calibri" w:cs="Calibri"/>
          <w:color w:val="000000"/>
          <w:lang w:eastAsia="en-GB"/>
        </w:rPr>
        <w:t>C, weight loss &gt; 10%) and</w:t>
      </w:r>
      <w:r w:rsidR="00422C8C">
        <w:rPr>
          <w:rFonts w:ascii="Calibri" w:eastAsia="Calibri" w:hAnsi="Calibri" w:cs="Calibri"/>
          <w:color w:val="000000"/>
          <w:lang w:eastAsia="en-GB"/>
        </w:rPr>
        <w:t xml:space="preserve"> </w:t>
      </w:r>
      <w:r w:rsidRPr="0026294D">
        <w:rPr>
          <w:rFonts w:ascii="Calibri" w:eastAsia="Calibri" w:hAnsi="Calibri" w:cs="Calibri"/>
          <w:color w:val="000000"/>
          <w:lang w:eastAsia="en-GB"/>
        </w:rPr>
        <w:t>/ or lymphadenopathy and</w:t>
      </w:r>
      <w:r w:rsidR="00422C8C">
        <w:rPr>
          <w:rFonts w:ascii="Calibri" w:eastAsia="Calibri" w:hAnsi="Calibri" w:cs="Calibri"/>
          <w:color w:val="000000"/>
          <w:lang w:eastAsia="en-GB"/>
        </w:rPr>
        <w:t xml:space="preserve"> </w:t>
      </w:r>
      <w:r w:rsidRPr="0026294D">
        <w:rPr>
          <w:rFonts w:ascii="Calibri" w:eastAsia="Calibri" w:hAnsi="Calibri" w:cs="Calibri"/>
          <w:color w:val="000000"/>
          <w:lang w:eastAsia="en-GB"/>
        </w:rPr>
        <w:t xml:space="preserve">/ or hepatosplenomegaly : see </w:t>
      </w:r>
      <w:r w:rsidRPr="004D0A23">
        <w:rPr>
          <w:rFonts w:ascii="Calibri" w:eastAsia="Calibri" w:hAnsi="Calibri" w:cs="Calibri"/>
          <w:color w:val="FF0000"/>
          <w:lang w:eastAsia="en-GB"/>
        </w:rPr>
        <w:t>2 week wait referral guidelines</w:t>
      </w:r>
      <w:bookmarkStart w:id="0" w:name="_GoBack"/>
      <w:bookmarkEnd w:id="0"/>
    </w:p>
    <w:p w:rsidR="0026294D" w:rsidRPr="0026294D" w:rsidRDefault="0026294D" w:rsidP="0026294D">
      <w:pPr>
        <w:numPr>
          <w:ilvl w:val="0"/>
          <w:numId w:val="20"/>
        </w:numPr>
        <w:spacing w:after="0" w:line="259" w:lineRule="auto"/>
        <w:contextualSpacing/>
        <w:rPr>
          <w:rFonts w:ascii="Calibri" w:eastAsia="Calibri" w:hAnsi="Calibri" w:cs="Calibri"/>
          <w:color w:val="000000"/>
          <w:lang w:eastAsia="en-GB"/>
        </w:rPr>
      </w:pPr>
      <w:bookmarkStart w:id="1" w:name="_gjdgxs" w:colFirst="0" w:colLast="0"/>
      <w:bookmarkEnd w:id="1"/>
      <w:r w:rsidRPr="0026294D">
        <w:rPr>
          <w:rFonts w:ascii="Calibri" w:eastAsia="Calibri" w:hAnsi="Calibri" w:cs="Calibri"/>
          <w:color w:val="000000"/>
          <w:lang w:eastAsia="en-GB"/>
        </w:rPr>
        <w:t>Drenching night sweats in combination with abnormal blood count and film suggestive of myeloproliferative disorder: routine referral</w:t>
      </w:r>
    </w:p>
    <w:p w:rsidR="00DF5D0A" w:rsidRPr="0026294D" w:rsidRDefault="0026294D" w:rsidP="007852CF">
      <w:pPr>
        <w:numPr>
          <w:ilvl w:val="0"/>
          <w:numId w:val="21"/>
        </w:numPr>
        <w:spacing w:after="0" w:line="259" w:lineRule="auto"/>
        <w:contextualSpacing/>
        <w:rPr>
          <w:rFonts w:ascii="Calibri" w:eastAsia="Calibri" w:hAnsi="Calibri" w:cs="Calibri"/>
          <w:color w:val="000000"/>
          <w:lang w:eastAsia="en-GB"/>
        </w:rPr>
      </w:pPr>
      <w:r w:rsidRPr="0026294D">
        <w:rPr>
          <w:rFonts w:ascii="Calibri" w:eastAsia="Calibri" w:hAnsi="Calibri" w:cs="Calibri"/>
          <w:color w:val="000000"/>
          <w:lang w:eastAsia="en-GB"/>
        </w:rPr>
        <w:t xml:space="preserve">Drenching night sweats in combination with abnormal blood </w:t>
      </w:r>
      <w:r w:rsidR="00422C8C" w:rsidRPr="0026294D">
        <w:rPr>
          <w:rFonts w:ascii="Calibri" w:eastAsia="Calibri" w:hAnsi="Calibri" w:cs="Calibri"/>
          <w:color w:val="000000"/>
          <w:lang w:eastAsia="en-GB"/>
        </w:rPr>
        <w:t>count and</w:t>
      </w:r>
      <w:r w:rsidRPr="0026294D">
        <w:rPr>
          <w:rFonts w:ascii="Calibri" w:eastAsia="Calibri" w:hAnsi="Calibri" w:cs="Calibri"/>
          <w:color w:val="000000"/>
          <w:lang w:eastAsia="en-GB"/>
        </w:rPr>
        <w:t xml:space="preserve"> film suggestive of low grade lymphoproliferative disorder: routine referral</w:t>
      </w:r>
      <w:r>
        <w:rPr>
          <w:rFonts w:ascii="Calibri" w:eastAsia="Calibri" w:hAnsi="Calibri" w:cs="Calibri"/>
          <w:color w:val="000000"/>
          <w:lang w:eastAsia="en-GB"/>
        </w:rPr>
        <w:t>.</w:t>
      </w:r>
    </w:p>
    <w:p w:rsidR="0026294D" w:rsidRDefault="0026294D" w:rsidP="0026294D">
      <w:pPr>
        <w:rPr>
          <w:b/>
          <w:sz w:val="28"/>
          <w:szCs w:val="28"/>
        </w:rPr>
      </w:pPr>
      <w:r w:rsidRPr="0026294D">
        <w:rPr>
          <w:b/>
          <w:sz w:val="28"/>
          <w:szCs w:val="28"/>
        </w:rPr>
        <w:t>References</w:t>
      </w:r>
    </w:p>
    <w:p w:rsidR="0026294D" w:rsidRPr="0026294D" w:rsidRDefault="0026294D" w:rsidP="0026294D">
      <w:pPr>
        <w:rPr>
          <w:b/>
          <w:sz w:val="28"/>
          <w:szCs w:val="28"/>
        </w:rPr>
      </w:pPr>
      <w:proofErr w:type="spellStart"/>
      <w:r w:rsidRPr="0026294D">
        <w:rPr>
          <w:sz w:val="18"/>
          <w:szCs w:val="18"/>
        </w:rPr>
        <w:t>A.Viera</w:t>
      </w:r>
      <w:proofErr w:type="spellEnd"/>
      <w:r w:rsidRPr="0026294D">
        <w:rPr>
          <w:sz w:val="18"/>
          <w:szCs w:val="18"/>
        </w:rPr>
        <w:t xml:space="preserve">, M Bond, S Yates: Diagnosing night sweats Am </w:t>
      </w:r>
      <w:proofErr w:type="gramStart"/>
      <w:r w:rsidRPr="0026294D">
        <w:rPr>
          <w:sz w:val="18"/>
          <w:szCs w:val="18"/>
        </w:rPr>
        <w:t>Fam</w:t>
      </w:r>
      <w:proofErr w:type="gramEnd"/>
      <w:r w:rsidRPr="0026294D">
        <w:rPr>
          <w:sz w:val="18"/>
          <w:szCs w:val="18"/>
        </w:rPr>
        <w:t xml:space="preserve"> Physician2003 Mar 1; 67 (5): 1019-1024</w:t>
      </w:r>
      <w:r>
        <w:rPr>
          <w:sz w:val="18"/>
          <w:szCs w:val="18"/>
        </w:rPr>
        <w:t>.</w:t>
      </w:r>
    </w:p>
    <w:p w:rsidR="00F82594" w:rsidRPr="006658FF" w:rsidRDefault="00F82594" w:rsidP="007852CF">
      <w:pPr>
        <w:rPr>
          <w:b/>
          <w:u w:val="single"/>
        </w:rPr>
      </w:pPr>
    </w:p>
    <w:sectPr w:rsidR="00F82594" w:rsidRPr="006658FF" w:rsidSect="009245C4">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EC" w:rsidRDefault="00337FEC" w:rsidP="006658FF">
      <w:pPr>
        <w:spacing w:after="0" w:line="240" w:lineRule="auto"/>
      </w:pPr>
      <w:r>
        <w:separator/>
      </w:r>
    </w:p>
  </w:endnote>
  <w:endnote w:type="continuationSeparator" w:id="0">
    <w:p w:rsidR="00337FEC" w:rsidRDefault="00337FEC" w:rsidP="0066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C4" w:rsidRPr="009245C4" w:rsidRDefault="009245C4">
    <w:pPr>
      <w:pStyle w:val="Footer"/>
      <w:rPr>
        <w:sz w:val="18"/>
        <w:szCs w:val="18"/>
      </w:rPr>
    </w:pPr>
    <w:r w:rsidRPr="009245C4">
      <w:rPr>
        <w:sz w:val="18"/>
        <w:szCs w:val="18"/>
      </w:rPr>
      <w:t>Sweats guidance. Authors: Jenny Arnold, Noel Ryman. Version 1. Approved on: 01 March 2018. Review date: 01 March 2021</w:t>
    </w:r>
  </w:p>
  <w:p w:rsidR="009245C4" w:rsidRDefault="00924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EC" w:rsidRDefault="00337FEC" w:rsidP="006658FF">
      <w:pPr>
        <w:spacing w:after="0" w:line="240" w:lineRule="auto"/>
      </w:pPr>
      <w:r>
        <w:separator/>
      </w:r>
    </w:p>
  </w:footnote>
  <w:footnote w:type="continuationSeparator" w:id="0">
    <w:p w:rsidR="00337FEC" w:rsidRDefault="00337FEC" w:rsidP="00665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494"/>
    <w:multiLevelType w:val="hybridMultilevel"/>
    <w:tmpl w:val="4E70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21CE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B64E17"/>
    <w:multiLevelType w:val="hybridMultilevel"/>
    <w:tmpl w:val="381C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46255"/>
    <w:multiLevelType w:val="hybridMultilevel"/>
    <w:tmpl w:val="647668F0"/>
    <w:lvl w:ilvl="0" w:tplc="EF703D7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D1B5919"/>
    <w:multiLevelType w:val="hybridMultilevel"/>
    <w:tmpl w:val="83BEAC4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27063F93"/>
    <w:multiLevelType w:val="hybridMultilevel"/>
    <w:tmpl w:val="626E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D2A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0AD2303"/>
    <w:multiLevelType w:val="hybridMultilevel"/>
    <w:tmpl w:val="9FB6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360C5"/>
    <w:multiLevelType w:val="hybridMultilevel"/>
    <w:tmpl w:val="C772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108B5"/>
    <w:multiLevelType w:val="hybridMultilevel"/>
    <w:tmpl w:val="83F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D37F4"/>
    <w:multiLevelType w:val="hybridMultilevel"/>
    <w:tmpl w:val="67F6B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D43609"/>
    <w:multiLevelType w:val="hybridMultilevel"/>
    <w:tmpl w:val="C0F8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BD09A1"/>
    <w:multiLevelType w:val="hybridMultilevel"/>
    <w:tmpl w:val="C1CA0EF2"/>
    <w:lvl w:ilvl="0" w:tplc="9CE48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E765007"/>
    <w:multiLevelType w:val="hybridMultilevel"/>
    <w:tmpl w:val="C112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B83366"/>
    <w:multiLevelType w:val="hybridMultilevel"/>
    <w:tmpl w:val="15C8E1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FFF2BFD"/>
    <w:multiLevelType w:val="hybridMultilevel"/>
    <w:tmpl w:val="103A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B16CAE"/>
    <w:multiLevelType w:val="hybridMultilevel"/>
    <w:tmpl w:val="2954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F91B41"/>
    <w:multiLevelType w:val="hybridMultilevel"/>
    <w:tmpl w:val="5A2A6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1520B6"/>
    <w:multiLevelType w:val="hybridMultilevel"/>
    <w:tmpl w:val="2360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EC3C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9065A0E"/>
    <w:multiLevelType w:val="hybridMultilevel"/>
    <w:tmpl w:val="3A0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7"/>
  </w:num>
  <w:num w:numId="5">
    <w:abstractNumId w:val="3"/>
  </w:num>
  <w:num w:numId="6">
    <w:abstractNumId w:val="11"/>
  </w:num>
  <w:num w:numId="7">
    <w:abstractNumId w:val="12"/>
  </w:num>
  <w:num w:numId="8">
    <w:abstractNumId w:val="5"/>
  </w:num>
  <w:num w:numId="9">
    <w:abstractNumId w:val="16"/>
  </w:num>
  <w:num w:numId="10">
    <w:abstractNumId w:val="9"/>
  </w:num>
  <w:num w:numId="11">
    <w:abstractNumId w:val="20"/>
  </w:num>
  <w:num w:numId="12">
    <w:abstractNumId w:val="4"/>
  </w:num>
  <w:num w:numId="13">
    <w:abstractNumId w:val="0"/>
  </w:num>
  <w:num w:numId="14">
    <w:abstractNumId w:val="18"/>
  </w:num>
  <w:num w:numId="15">
    <w:abstractNumId w:val="2"/>
  </w:num>
  <w:num w:numId="16">
    <w:abstractNumId w:val="7"/>
  </w:num>
  <w:num w:numId="17">
    <w:abstractNumId w:val="14"/>
  </w:num>
  <w:num w:numId="18">
    <w:abstractNumId w:val="13"/>
  </w:num>
  <w:num w:numId="19">
    <w:abstractNumId w:val="6"/>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27"/>
    <w:rsid w:val="0004394B"/>
    <w:rsid w:val="00131E61"/>
    <w:rsid w:val="00163A1B"/>
    <w:rsid w:val="001813C6"/>
    <w:rsid w:val="001A5BAE"/>
    <w:rsid w:val="00237F51"/>
    <w:rsid w:val="0026294D"/>
    <w:rsid w:val="0029683B"/>
    <w:rsid w:val="002A2514"/>
    <w:rsid w:val="002D4A76"/>
    <w:rsid w:val="00336654"/>
    <w:rsid w:val="00337FEC"/>
    <w:rsid w:val="00342448"/>
    <w:rsid w:val="003531DC"/>
    <w:rsid w:val="0035715D"/>
    <w:rsid w:val="003C01EF"/>
    <w:rsid w:val="003F67A5"/>
    <w:rsid w:val="00417BFA"/>
    <w:rsid w:val="00422C8C"/>
    <w:rsid w:val="00445EDF"/>
    <w:rsid w:val="004757A9"/>
    <w:rsid w:val="004D0A23"/>
    <w:rsid w:val="004D452B"/>
    <w:rsid w:val="004D69DE"/>
    <w:rsid w:val="00523785"/>
    <w:rsid w:val="00553515"/>
    <w:rsid w:val="005A3A51"/>
    <w:rsid w:val="005D342C"/>
    <w:rsid w:val="006008EA"/>
    <w:rsid w:val="006658FF"/>
    <w:rsid w:val="006E4CF4"/>
    <w:rsid w:val="006E68F1"/>
    <w:rsid w:val="006E6DF5"/>
    <w:rsid w:val="00716348"/>
    <w:rsid w:val="00724157"/>
    <w:rsid w:val="007852CF"/>
    <w:rsid w:val="007B1F34"/>
    <w:rsid w:val="007B666A"/>
    <w:rsid w:val="007D36B5"/>
    <w:rsid w:val="00801D60"/>
    <w:rsid w:val="00832185"/>
    <w:rsid w:val="00864BD3"/>
    <w:rsid w:val="00874202"/>
    <w:rsid w:val="00896CA2"/>
    <w:rsid w:val="009245C4"/>
    <w:rsid w:val="00937D96"/>
    <w:rsid w:val="00A05727"/>
    <w:rsid w:val="00A222AA"/>
    <w:rsid w:val="00A40D92"/>
    <w:rsid w:val="00A6021A"/>
    <w:rsid w:val="00A95F47"/>
    <w:rsid w:val="00AC2D9A"/>
    <w:rsid w:val="00B04466"/>
    <w:rsid w:val="00B22A75"/>
    <w:rsid w:val="00B32C45"/>
    <w:rsid w:val="00B53E0F"/>
    <w:rsid w:val="00C676B2"/>
    <w:rsid w:val="00CA295B"/>
    <w:rsid w:val="00D00AA1"/>
    <w:rsid w:val="00D85FEF"/>
    <w:rsid w:val="00DF5D0A"/>
    <w:rsid w:val="00E56F53"/>
    <w:rsid w:val="00E97AE3"/>
    <w:rsid w:val="00F82594"/>
    <w:rsid w:val="00FB5312"/>
    <w:rsid w:val="00FB670B"/>
    <w:rsid w:val="00FD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7"/>
    <w:rPr>
      <w:rFonts w:ascii="Tahoma" w:hAnsi="Tahoma" w:cs="Tahoma"/>
      <w:sz w:val="16"/>
      <w:szCs w:val="16"/>
    </w:rPr>
  </w:style>
  <w:style w:type="paragraph" w:styleId="ListParagraph">
    <w:name w:val="List Paragraph"/>
    <w:basedOn w:val="Normal"/>
    <w:uiPriority w:val="34"/>
    <w:qFormat/>
    <w:rsid w:val="00716348"/>
    <w:pPr>
      <w:ind w:left="720"/>
      <w:contextualSpacing/>
    </w:pPr>
  </w:style>
  <w:style w:type="table" w:styleId="TableGrid">
    <w:name w:val="Table Grid"/>
    <w:basedOn w:val="TableNormal"/>
    <w:uiPriority w:val="59"/>
    <w:rsid w:val="0052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FF"/>
  </w:style>
  <w:style w:type="paragraph" w:styleId="Footer">
    <w:name w:val="footer"/>
    <w:basedOn w:val="Normal"/>
    <w:link w:val="FooterChar"/>
    <w:uiPriority w:val="99"/>
    <w:unhideWhenUsed/>
    <w:rsid w:val="0066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FF"/>
  </w:style>
  <w:style w:type="paragraph" w:customStyle="1" w:styleId="Normal1">
    <w:name w:val="Normal1"/>
    <w:uiPriority w:val="99"/>
    <w:rsid w:val="00237F51"/>
    <w:pPr>
      <w:spacing w:after="160" w:line="259" w:lineRule="auto"/>
    </w:pPr>
    <w:rPr>
      <w:rFonts w:ascii="Calibri" w:eastAsia="Calibri" w:hAnsi="Calibri" w:cs="Calibr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7"/>
    <w:rPr>
      <w:rFonts w:ascii="Tahoma" w:hAnsi="Tahoma" w:cs="Tahoma"/>
      <w:sz w:val="16"/>
      <w:szCs w:val="16"/>
    </w:rPr>
  </w:style>
  <w:style w:type="paragraph" w:styleId="ListParagraph">
    <w:name w:val="List Paragraph"/>
    <w:basedOn w:val="Normal"/>
    <w:uiPriority w:val="34"/>
    <w:qFormat/>
    <w:rsid w:val="00716348"/>
    <w:pPr>
      <w:ind w:left="720"/>
      <w:contextualSpacing/>
    </w:pPr>
  </w:style>
  <w:style w:type="table" w:styleId="TableGrid">
    <w:name w:val="Table Grid"/>
    <w:basedOn w:val="TableNormal"/>
    <w:uiPriority w:val="59"/>
    <w:rsid w:val="0052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FF"/>
  </w:style>
  <w:style w:type="paragraph" w:styleId="Footer">
    <w:name w:val="footer"/>
    <w:basedOn w:val="Normal"/>
    <w:link w:val="FooterChar"/>
    <w:uiPriority w:val="99"/>
    <w:unhideWhenUsed/>
    <w:rsid w:val="0066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FF"/>
  </w:style>
  <w:style w:type="paragraph" w:customStyle="1" w:styleId="Normal1">
    <w:name w:val="Normal1"/>
    <w:uiPriority w:val="99"/>
    <w:rsid w:val="00237F51"/>
    <w:pPr>
      <w:spacing w:after="160" w:line="259"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5A53-3C04-4E49-936A-FB07730E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HHFT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Roger</dc:creator>
  <cp:lastModifiedBy>user</cp:lastModifiedBy>
  <cp:revision>4</cp:revision>
  <dcterms:created xsi:type="dcterms:W3CDTF">2018-02-28T13:05:00Z</dcterms:created>
  <dcterms:modified xsi:type="dcterms:W3CDTF">2018-04-17T14:38:00Z</dcterms:modified>
</cp:coreProperties>
</file>