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5" w:rsidRDefault="00A05727" w:rsidP="003F67A5">
      <w:pPr>
        <w:ind w:left="3600" w:firstLine="720"/>
        <w:jc w:val="center"/>
        <w:rPr>
          <w:u w:val="single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37B53997" wp14:editId="3E6F3683">
            <wp:extent cx="2990850" cy="476250"/>
            <wp:effectExtent l="0" t="0" r="0" b="0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6" w:rsidRPr="003F67A5" w:rsidRDefault="00CA295B" w:rsidP="003F6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Erythrocytosis</w:t>
      </w:r>
    </w:p>
    <w:p w:rsidR="003F67A5" w:rsidRDefault="003F67A5" w:rsidP="003F67A5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Presentation</w:t>
      </w:r>
    </w:p>
    <w:p w:rsidR="00A6021A" w:rsidRDefault="003F67A5" w:rsidP="003F67A5">
      <w:pPr>
        <w:rPr>
          <w:u w:val="single"/>
        </w:rPr>
      </w:pPr>
      <w:r>
        <w:rPr>
          <w:u w:val="single"/>
        </w:rPr>
        <w:t>Definition</w:t>
      </w:r>
    </w:p>
    <w:p w:rsidR="003F67A5" w:rsidRPr="003F67A5" w:rsidRDefault="003F67A5" w:rsidP="003F67A5">
      <w:pPr>
        <w:rPr>
          <w:b/>
          <w:sz w:val="28"/>
          <w:szCs w:val="28"/>
        </w:rPr>
      </w:pPr>
      <w:r w:rsidRPr="003F67A5">
        <w:t>Raised haematocrit persisting for more than 2 months</w:t>
      </w:r>
      <w:r>
        <w:t xml:space="preserve"> (&gt;0.54 in males, &gt;0.48 in females)</w:t>
      </w:r>
    </w:p>
    <w:p w:rsidR="003F67A5" w:rsidRPr="003F67A5" w:rsidRDefault="003F67A5" w:rsidP="007852CF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Clinical Findings</w:t>
      </w:r>
    </w:p>
    <w:p w:rsidR="003F67A5" w:rsidRPr="003F67A5" w:rsidRDefault="003F67A5" w:rsidP="007852CF">
      <w:pPr>
        <w:rPr>
          <w:u w:val="single"/>
        </w:rPr>
      </w:pPr>
      <w:r w:rsidRPr="003F67A5">
        <w:rPr>
          <w:u w:val="single"/>
        </w:rPr>
        <w:t>Types of Erythrocytosis</w:t>
      </w:r>
    </w:p>
    <w:p w:rsidR="003F67A5" w:rsidRDefault="003F67A5" w:rsidP="003F67A5">
      <w:pPr>
        <w:pStyle w:val="ListParagraph"/>
        <w:numPr>
          <w:ilvl w:val="0"/>
          <w:numId w:val="6"/>
        </w:numPr>
      </w:pPr>
      <w:r>
        <w:t xml:space="preserve">Apparent erythrocytosis </w:t>
      </w:r>
    </w:p>
    <w:p w:rsidR="003F67A5" w:rsidRDefault="003F67A5" w:rsidP="003F67A5">
      <w:pPr>
        <w:pStyle w:val="ListParagraph"/>
      </w:pPr>
      <w:proofErr w:type="gramStart"/>
      <w:r>
        <w:t xml:space="preserve">Increased </w:t>
      </w:r>
      <w:proofErr w:type="spellStart"/>
      <w:r>
        <w:t>Hb</w:t>
      </w:r>
      <w:proofErr w:type="spellEnd"/>
      <w:r>
        <w:t>/</w:t>
      </w:r>
      <w:proofErr w:type="spellStart"/>
      <w:r>
        <w:t>Hct</w:t>
      </w:r>
      <w:proofErr w:type="spellEnd"/>
      <w:r>
        <w:t xml:space="preserve"> but normal red cell mass due to a reduction in plasma volume.</w:t>
      </w:r>
      <w:proofErr w:type="gramEnd"/>
      <w:r>
        <w:t xml:space="preserve"> This can be due to diuretics, excess alcohol, excess caffeine, smoking and obesity.</w:t>
      </w:r>
    </w:p>
    <w:p w:rsidR="003F67A5" w:rsidRDefault="00716348" w:rsidP="007852CF">
      <w:pPr>
        <w:pStyle w:val="ListParagraph"/>
        <w:numPr>
          <w:ilvl w:val="0"/>
          <w:numId w:val="6"/>
        </w:numPr>
      </w:pPr>
      <w:r>
        <w:t xml:space="preserve"> </w:t>
      </w:r>
      <w:r w:rsidR="00A6021A">
        <w:t xml:space="preserve">Absolute erythrocytosis </w:t>
      </w:r>
    </w:p>
    <w:p w:rsidR="00131E61" w:rsidRDefault="003F67A5" w:rsidP="00131E61">
      <w:pPr>
        <w:pStyle w:val="ListParagraph"/>
      </w:pPr>
      <w:proofErr w:type="gramStart"/>
      <w:r>
        <w:t>Due to a real increase in red cell mass</w:t>
      </w:r>
      <w:r w:rsidR="00131E61">
        <w:t>.</w:t>
      </w:r>
      <w:proofErr w:type="gramEnd"/>
      <w:r w:rsidR="00131E61">
        <w:t xml:space="preserve"> Any </w:t>
      </w:r>
      <w:proofErr w:type="spellStart"/>
      <w:r w:rsidR="00131E61">
        <w:t>Hct</w:t>
      </w:r>
      <w:proofErr w:type="spellEnd"/>
      <w:r w:rsidR="00131E61">
        <w:t xml:space="preserve"> &gt;0.6 in men or &gt;0.56 in women is considered absolute erythrocytosis. This can be divided into three categories:</w:t>
      </w:r>
    </w:p>
    <w:p w:rsidR="00A6021A" w:rsidRDefault="00A6021A" w:rsidP="00131E61">
      <w:pPr>
        <w:pStyle w:val="ListParagraph"/>
        <w:numPr>
          <w:ilvl w:val="0"/>
          <w:numId w:val="7"/>
        </w:numPr>
      </w:pPr>
      <w:r>
        <w:t>Primary</w:t>
      </w:r>
      <w:r w:rsidR="00131E61">
        <w:t>:</w:t>
      </w:r>
      <w:r>
        <w:t xml:space="preserve"> where there is an intrinsic problem with the bone marrow </w:t>
      </w:r>
      <w:r w:rsidR="00131E61">
        <w:t xml:space="preserve"> (see below)</w:t>
      </w:r>
    </w:p>
    <w:p w:rsidR="00A6021A" w:rsidRDefault="00131E61" w:rsidP="007852CF">
      <w:pPr>
        <w:pStyle w:val="ListParagraph"/>
        <w:numPr>
          <w:ilvl w:val="0"/>
          <w:numId w:val="7"/>
        </w:numPr>
      </w:pPr>
      <w:r>
        <w:t xml:space="preserve">Secondary: </w:t>
      </w:r>
      <w:r w:rsidR="00A6021A">
        <w:t>where there is external influence driving erythropoiesis in the bone marrow</w:t>
      </w:r>
    </w:p>
    <w:p w:rsidR="00131E61" w:rsidRDefault="00131E61" w:rsidP="007852CF">
      <w:pPr>
        <w:pStyle w:val="ListParagraph"/>
        <w:numPr>
          <w:ilvl w:val="0"/>
          <w:numId w:val="7"/>
        </w:numPr>
      </w:pPr>
      <w:r>
        <w:t>Idiopathic: when primary and secondary causes have been excluded</w:t>
      </w:r>
    </w:p>
    <w:p w:rsidR="00131E61" w:rsidRPr="00131E61" w:rsidRDefault="00131E61" w:rsidP="00131E61">
      <w:pPr>
        <w:rPr>
          <w:b/>
          <w:sz w:val="28"/>
          <w:szCs w:val="28"/>
        </w:rPr>
      </w:pPr>
      <w:r w:rsidRPr="00131E61">
        <w:rPr>
          <w:b/>
          <w:sz w:val="28"/>
          <w:szCs w:val="28"/>
        </w:rPr>
        <w:t>Causes</w:t>
      </w:r>
    </w:p>
    <w:p w:rsidR="00131E61" w:rsidRDefault="00553515" w:rsidP="00131E61">
      <w:pPr>
        <w:rPr>
          <w:u w:val="single"/>
        </w:rPr>
      </w:pPr>
      <w:r>
        <w:rPr>
          <w:u w:val="single"/>
        </w:rPr>
        <w:t>S</w:t>
      </w:r>
      <w:r w:rsidR="00131E61" w:rsidRPr="00131E61">
        <w:rPr>
          <w:u w:val="single"/>
        </w:rPr>
        <w:t>econdary causes</w:t>
      </w:r>
    </w:p>
    <w:p w:rsidR="003531DC" w:rsidRDefault="003531DC" w:rsidP="003531DC">
      <w:pPr>
        <w:pStyle w:val="ListParagraph"/>
        <w:numPr>
          <w:ilvl w:val="0"/>
          <w:numId w:val="9"/>
        </w:numPr>
      </w:pPr>
      <w:r>
        <w:t>The treatment is dependent on identifying the underlying condition and treating it appropriately, such as:</w:t>
      </w:r>
    </w:p>
    <w:p w:rsidR="003531DC" w:rsidRDefault="003531DC" w:rsidP="003531DC">
      <w:pPr>
        <w:pStyle w:val="ListParagraph"/>
      </w:pPr>
      <w:r>
        <w:t>-Consider oxygen supplementation in COPD</w:t>
      </w:r>
    </w:p>
    <w:p w:rsidR="003531DC" w:rsidRDefault="003531DC" w:rsidP="003531DC">
      <w:pPr>
        <w:pStyle w:val="ListParagraph"/>
      </w:pPr>
      <w:r>
        <w:t xml:space="preserve">-Consider referral for assessment of sleep apnoea and possible CPAP </w:t>
      </w:r>
    </w:p>
    <w:p w:rsidR="003531DC" w:rsidRDefault="003531DC" w:rsidP="003531DC">
      <w:pPr>
        <w:pStyle w:val="ListParagraph"/>
      </w:pPr>
      <w:r>
        <w:t>-Recommend cessation of smoking</w:t>
      </w:r>
    </w:p>
    <w:p w:rsidR="003531DC" w:rsidRPr="003531DC" w:rsidRDefault="003531DC" w:rsidP="003531DC">
      <w:pPr>
        <w:pStyle w:val="ListParagraph"/>
        <w:numPr>
          <w:ilvl w:val="0"/>
          <w:numId w:val="9"/>
        </w:numPr>
      </w:pPr>
      <w:r>
        <w:t xml:space="preserve">Venesection only warranted if previous history of vascular or venous insults or deemed at very high risk. Aim for </w:t>
      </w:r>
      <w:proofErr w:type="spellStart"/>
      <w:r>
        <w:t>Hct</w:t>
      </w:r>
      <w:proofErr w:type="spellEnd"/>
      <w:r>
        <w:t xml:space="preserve"> &lt;0.54 with venesection (this is not routinely provided by haematology but can be discussed).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131E61" w:rsidTr="00553515">
        <w:tc>
          <w:tcPr>
            <w:tcW w:w="2802" w:type="dxa"/>
          </w:tcPr>
          <w:p w:rsidR="00131E61" w:rsidRDefault="00553515" w:rsidP="007852CF">
            <w:r>
              <w:t>Central hypoxia</w:t>
            </w:r>
          </w:p>
        </w:tc>
        <w:tc>
          <w:tcPr>
            <w:tcW w:w="6440" w:type="dxa"/>
          </w:tcPr>
          <w:p w:rsidR="00131E61" w:rsidRDefault="00553515" w:rsidP="007852CF">
            <w:r>
              <w:t>Chronic lung disease, right-to-left cardiopulmonary vascular shunts, Obstructive sleep apnoea, smoking, carbon monoxide poisoning</w:t>
            </w:r>
          </w:p>
        </w:tc>
      </w:tr>
      <w:tr w:rsidR="00131E61" w:rsidTr="00553515">
        <w:tc>
          <w:tcPr>
            <w:tcW w:w="2802" w:type="dxa"/>
          </w:tcPr>
          <w:p w:rsidR="00131E61" w:rsidRDefault="00553515" w:rsidP="007852CF">
            <w:r>
              <w:t>Renal hypoxia</w:t>
            </w:r>
          </w:p>
        </w:tc>
        <w:tc>
          <w:tcPr>
            <w:tcW w:w="6440" w:type="dxa"/>
          </w:tcPr>
          <w:p w:rsidR="00131E61" w:rsidRDefault="00553515" w:rsidP="007852CF">
            <w:r>
              <w:t>End stage renal failure, renal artery stenosis, renal cysts, hydronephrosis</w:t>
            </w:r>
          </w:p>
        </w:tc>
      </w:tr>
      <w:tr w:rsidR="00131E61" w:rsidTr="00553515">
        <w:tc>
          <w:tcPr>
            <w:tcW w:w="2802" w:type="dxa"/>
          </w:tcPr>
          <w:p w:rsidR="00131E61" w:rsidRDefault="00553515" w:rsidP="007852CF">
            <w:r>
              <w:t>Tumours producing erythropoietin</w:t>
            </w:r>
          </w:p>
        </w:tc>
        <w:tc>
          <w:tcPr>
            <w:tcW w:w="6440" w:type="dxa"/>
          </w:tcPr>
          <w:p w:rsidR="00131E61" w:rsidRDefault="00553515" w:rsidP="007852CF">
            <w:r>
              <w:t>Hepatocellular cancer, renal cell cancer, cerebellar haemangioblastoma, parathyroid, uterine, ph</w:t>
            </w:r>
            <w:r w:rsidR="00201C96">
              <w:t>a</w:t>
            </w:r>
            <w:r>
              <w:t>eochromocytoma, meningioma</w:t>
            </w:r>
          </w:p>
        </w:tc>
      </w:tr>
      <w:tr w:rsidR="00131E61" w:rsidTr="00553515">
        <w:tc>
          <w:tcPr>
            <w:tcW w:w="2802" w:type="dxa"/>
          </w:tcPr>
          <w:p w:rsidR="00131E61" w:rsidRDefault="00553515" w:rsidP="007852CF">
            <w:r>
              <w:t>Exogenous erythropoietin</w:t>
            </w:r>
          </w:p>
        </w:tc>
        <w:tc>
          <w:tcPr>
            <w:tcW w:w="6440" w:type="dxa"/>
          </w:tcPr>
          <w:p w:rsidR="00131E61" w:rsidRDefault="00553515" w:rsidP="007852CF">
            <w:r>
              <w:t>Anabolic steroids, androgens, post renal transplant</w:t>
            </w:r>
          </w:p>
        </w:tc>
      </w:tr>
      <w:tr w:rsidR="00131E61" w:rsidTr="00553515">
        <w:tc>
          <w:tcPr>
            <w:tcW w:w="2802" w:type="dxa"/>
          </w:tcPr>
          <w:p w:rsidR="00131E61" w:rsidRDefault="00553515" w:rsidP="007852CF">
            <w:r>
              <w:t>Congenital (rare)</w:t>
            </w:r>
          </w:p>
        </w:tc>
        <w:tc>
          <w:tcPr>
            <w:tcW w:w="6440" w:type="dxa"/>
          </w:tcPr>
          <w:p w:rsidR="00131E61" w:rsidRDefault="00553515" w:rsidP="007852CF">
            <w:r>
              <w:t>High oxygen-affinity haemoglobin, VHL mutation, erythropoietin receptor-mediated</w:t>
            </w:r>
          </w:p>
        </w:tc>
      </w:tr>
    </w:tbl>
    <w:p w:rsidR="00B22A75" w:rsidRDefault="002A2514" w:rsidP="002A2514">
      <w:pPr>
        <w:ind w:left="4320" w:firstLine="720"/>
      </w:pPr>
      <w:r>
        <w:rPr>
          <w:noProof/>
          <w:lang w:eastAsia="en-GB"/>
        </w:rPr>
        <w:lastRenderedPageBreak/>
        <w:drawing>
          <wp:inline distT="0" distB="0" distL="0" distR="0" wp14:anchorId="5396FA28">
            <wp:extent cx="2993390" cy="4756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BD3" w:rsidRPr="00864BD3" w:rsidRDefault="00864BD3" w:rsidP="00864BD3">
      <w:pPr>
        <w:rPr>
          <w:u w:val="single"/>
        </w:rPr>
      </w:pPr>
      <w:r w:rsidRPr="00864BD3">
        <w:rPr>
          <w:u w:val="single"/>
        </w:rPr>
        <w:t xml:space="preserve">Primary erythrocytosis (polycythaemia </w:t>
      </w:r>
      <w:proofErr w:type="gramStart"/>
      <w:r w:rsidRPr="00864BD3">
        <w:rPr>
          <w:u w:val="single"/>
        </w:rPr>
        <w:t>vera</w:t>
      </w:r>
      <w:proofErr w:type="gramEnd"/>
      <w:r w:rsidRPr="00864BD3">
        <w:rPr>
          <w:u w:val="single"/>
        </w:rPr>
        <w:t>)</w:t>
      </w:r>
    </w:p>
    <w:p w:rsidR="00864BD3" w:rsidRDefault="00864BD3" w:rsidP="00864BD3">
      <w:pPr>
        <w:pStyle w:val="ListParagraph"/>
        <w:numPr>
          <w:ilvl w:val="0"/>
          <w:numId w:val="8"/>
        </w:numPr>
      </w:pPr>
      <w:r>
        <w:t>Myeloproliferative neoplasm (MPN) with a clonal disorder of erythroid progenitors.</w:t>
      </w:r>
    </w:p>
    <w:p w:rsidR="00864BD3" w:rsidRDefault="00864BD3" w:rsidP="00864BD3">
      <w:pPr>
        <w:pStyle w:val="ListParagraph"/>
        <w:numPr>
          <w:ilvl w:val="0"/>
          <w:numId w:val="8"/>
        </w:numPr>
      </w:pPr>
      <w:r>
        <w:t>Median age of presentation around 60 years old</w:t>
      </w:r>
    </w:p>
    <w:p w:rsidR="00864BD3" w:rsidRDefault="00864BD3" w:rsidP="00864BD3">
      <w:pPr>
        <w:pStyle w:val="ListParagraph"/>
        <w:numPr>
          <w:ilvl w:val="0"/>
          <w:numId w:val="8"/>
        </w:numPr>
      </w:pPr>
      <w:r>
        <w:t>&gt;95% of patient will have a positive JAK2 mutation.</w:t>
      </w:r>
    </w:p>
    <w:p w:rsidR="00864BD3" w:rsidRDefault="00864BD3" w:rsidP="00864BD3">
      <w:pPr>
        <w:pStyle w:val="ListParagraph"/>
        <w:numPr>
          <w:ilvl w:val="0"/>
          <w:numId w:val="8"/>
        </w:numPr>
      </w:pPr>
      <w:r>
        <w:t xml:space="preserve">Ferritin and erythropoietin levels usually low (or low normal). </w:t>
      </w:r>
    </w:p>
    <w:p w:rsidR="00864BD3" w:rsidRDefault="00864BD3" w:rsidP="00864BD3">
      <w:pPr>
        <w:pStyle w:val="ListParagraph"/>
        <w:numPr>
          <w:ilvl w:val="0"/>
          <w:numId w:val="8"/>
        </w:numPr>
      </w:pPr>
      <w:r>
        <w:t xml:space="preserve">May also have a raised WCC or platelet count and may have an enlarged spleen. </w:t>
      </w:r>
    </w:p>
    <w:p w:rsidR="00864BD3" w:rsidRDefault="00864BD3" w:rsidP="00864BD3">
      <w:pPr>
        <w:pStyle w:val="ListParagraph"/>
        <w:numPr>
          <w:ilvl w:val="0"/>
          <w:numId w:val="8"/>
        </w:numPr>
      </w:pPr>
      <w:r>
        <w:t>If the JAK2 mutation is negative with a reduced EPO level or ferritin please consider referral still as a bone marrow biopsy may be indicated</w:t>
      </w:r>
    </w:p>
    <w:p w:rsidR="00864BD3" w:rsidRDefault="00864BD3" w:rsidP="00864BD3">
      <w:pPr>
        <w:pStyle w:val="ListParagraph"/>
        <w:numPr>
          <w:ilvl w:val="0"/>
          <w:numId w:val="8"/>
        </w:numPr>
      </w:pPr>
      <w:r>
        <w:t>Increased risk of both arterial and venous thrombosis, haemorrhage and risk of progression to myelofibrosis and acute myeloid leukaemia.</w:t>
      </w:r>
    </w:p>
    <w:p w:rsidR="00864BD3" w:rsidRDefault="00864BD3" w:rsidP="00864BD3">
      <w:pPr>
        <w:pStyle w:val="ListParagraph"/>
        <w:numPr>
          <w:ilvl w:val="0"/>
          <w:numId w:val="8"/>
        </w:numPr>
      </w:pPr>
      <w:r>
        <w:t xml:space="preserve">Standard treatment includes venesection (to keep haematocrit &lt;0.45) and low dose aspirin. Pharmacological </w:t>
      </w:r>
      <w:proofErr w:type="spellStart"/>
      <w:r>
        <w:t>cytoreduction</w:t>
      </w:r>
      <w:proofErr w:type="spellEnd"/>
      <w:r>
        <w:t xml:space="preserve"> </w:t>
      </w:r>
      <w:r w:rsidR="006008EA">
        <w:t xml:space="preserve">may be required (commonly with </w:t>
      </w:r>
      <w:proofErr w:type="spellStart"/>
      <w:r w:rsidR="006008EA">
        <w:t>hydroxycarbamide</w:t>
      </w:r>
      <w:proofErr w:type="spellEnd"/>
      <w:r w:rsidR="006008EA">
        <w:t xml:space="preserve">). </w:t>
      </w:r>
    </w:p>
    <w:p w:rsidR="006008EA" w:rsidRDefault="006008EA" w:rsidP="00864BD3">
      <w:pPr>
        <w:pStyle w:val="ListParagraph"/>
        <w:numPr>
          <w:ilvl w:val="0"/>
          <w:numId w:val="8"/>
        </w:numPr>
      </w:pPr>
      <w:r>
        <w:t>Cardiovascular risk factors should be addressed.</w:t>
      </w:r>
    </w:p>
    <w:p w:rsidR="00E97AE3" w:rsidRPr="00E97AE3" w:rsidRDefault="00E97AE3" w:rsidP="007852CF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Symptoms and Signs</w:t>
      </w:r>
    </w:p>
    <w:p w:rsidR="00E97AE3" w:rsidRPr="00E97AE3" w:rsidRDefault="001A7748" w:rsidP="00CC77C0">
      <w:pPr>
        <w:pStyle w:val="ListParagraph"/>
        <w:numPr>
          <w:ilvl w:val="0"/>
          <w:numId w:val="13"/>
        </w:numPr>
      </w:pPr>
      <w:r>
        <w:t xml:space="preserve">Most patients with erythrocytosis are </w:t>
      </w:r>
      <w:r w:rsidR="00201C96">
        <w:t>asymptomatic</w:t>
      </w:r>
      <w:r>
        <w:t>. It is important to take a history and examine for secondary causes.</w:t>
      </w:r>
      <w:r w:rsidR="00CC77C0">
        <w:t xml:space="preserve"> </w:t>
      </w:r>
      <w:r w:rsidR="00E97AE3">
        <w:t xml:space="preserve">Erythrocytosis can cause excessive sweating, hyperviscosity, </w:t>
      </w:r>
      <w:r w:rsidR="00201C96">
        <w:t>pruritus</w:t>
      </w:r>
      <w:r w:rsidR="00E97AE3">
        <w:t xml:space="preserve">, thrombosis (including at unusual sites), facial plethora and </w:t>
      </w:r>
      <w:proofErr w:type="spellStart"/>
      <w:r w:rsidR="00E97AE3">
        <w:t>hepato</w:t>
      </w:r>
      <w:proofErr w:type="spellEnd"/>
      <w:r w:rsidR="00E97AE3">
        <w:t xml:space="preserve">/splenomegaly. </w:t>
      </w:r>
    </w:p>
    <w:p w:rsidR="00A222AA" w:rsidRDefault="00E97AE3" w:rsidP="007852CF">
      <w:pPr>
        <w:rPr>
          <w:b/>
          <w:sz w:val="28"/>
          <w:szCs w:val="28"/>
        </w:rPr>
      </w:pPr>
      <w:r w:rsidRPr="00A222AA">
        <w:rPr>
          <w:b/>
          <w:sz w:val="28"/>
          <w:szCs w:val="28"/>
        </w:rPr>
        <w:t>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6F53" w:rsidTr="00E56F53">
        <w:tc>
          <w:tcPr>
            <w:tcW w:w="4621" w:type="dxa"/>
          </w:tcPr>
          <w:p w:rsidR="00E56F53" w:rsidRDefault="00E56F53" w:rsidP="007852CF">
            <w:r w:rsidRPr="00E56F53">
              <w:t>Investigations in primary care should include</w:t>
            </w:r>
          </w:p>
        </w:tc>
        <w:tc>
          <w:tcPr>
            <w:tcW w:w="4621" w:type="dxa"/>
          </w:tcPr>
          <w:p w:rsidR="00E56F53" w:rsidRDefault="00E56F53" w:rsidP="007852CF">
            <w:r w:rsidRPr="00E56F53">
              <w:t>Investigations to consider in primary care</w:t>
            </w:r>
          </w:p>
        </w:tc>
      </w:tr>
      <w:tr w:rsidR="00E56F53" w:rsidTr="00E56F53">
        <w:trPr>
          <w:trHeight w:val="277"/>
        </w:trPr>
        <w:tc>
          <w:tcPr>
            <w:tcW w:w="4621" w:type="dxa"/>
          </w:tcPr>
          <w:p w:rsidR="00E56F53" w:rsidRDefault="00E56F53" w:rsidP="00E56F53">
            <w:r w:rsidRPr="00A222AA">
              <w:t>FBC and film</w:t>
            </w:r>
          </w:p>
        </w:tc>
        <w:tc>
          <w:tcPr>
            <w:tcW w:w="4621" w:type="dxa"/>
          </w:tcPr>
          <w:p w:rsidR="00E56F53" w:rsidRDefault="00E56F53" w:rsidP="00E56F53">
            <w:r>
              <w:t>JAK2 mutation</w:t>
            </w:r>
          </w:p>
          <w:p w:rsidR="00E56F53" w:rsidRDefault="00E56F53" w:rsidP="00E56F53"/>
        </w:tc>
      </w:tr>
      <w:tr w:rsidR="00E56F53" w:rsidTr="00E56F53">
        <w:tc>
          <w:tcPr>
            <w:tcW w:w="4621" w:type="dxa"/>
          </w:tcPr>
          <w:p w:rsidR="00E56F53" w:rsidRDefault="00E56F53" w:rsidP="007852CF">
            <w:r>
              <w:t>Ferritin</w:t>
            </w:r>
          </w:p>
        </w:tc>
        <w:tc>
          <w:tcPr>
            <w:tcW w:w="4621" w:type="dxa"/>
          </w:tcPr>
          <w:p w:rsidR="00E56F53" w:rsidRDefault="00E56F53" w:rsidP="007852CF">
            <w:r w:rsidRPr="00E56F53">
              <w:t>USS of abdomen</w:t>
            </w:r>
          </w:p>
        </w:tc>
      </w:tr>
      <w:tr w:rsidR="00E56F53" w:rsidTr="00E56F53">
        <w:tc>
          <w:tcPr>
            <w:tcW w:w="4621" w:type="dxa"/>
          </w:tcPr>
          <w:p w:rsidR="00E56F53" w:rsidRDefault="00E56F53" w:rsidP="007852CF">
            <w:r w:rsidRPr="00E56F53">
              <w:t>Erythropoietin</w:t>
            </w:r>
          </w:p>
        </w:tc>
        <w:tc>
          <w:tcPr>
            <w:tcW w:w="4621" w:type="dxa"/>
          </w:tcPr>
          <w:p w:rsidR="00E56F53" w:rsidRDefault="00E56F53" w:rsidP="007852CF">
            <w:r w:rsidRPr="00E56F53">
              <w:t>Lung function test</w:t>
            </w:r>
          </w:p>
        </w:tc>
      </w:tr>
      <w:tr w:rsidR="00E56F53" w:rsidTr="00E56F53">
        <w:tc>
          <w:tcPr>
            <w:tcW w:w="4621" w:type="dxa"/>
          </w:tcPr>
          <w:p w:rsidR="00E56F53" w:rsidRDefault="00E56F53" w:rsidP="007852CF">
            <w:r w:rsidRPr="00E56F53">
              <w:t>Oxygen saturations</w:t>
            </w:r>
          </w:p>
        </w:tc>
        <w:tc>
          <w:tcPr>
            <w:tcW w:w="4621" w:type="dxa"/>
          </w:tcPr>
          <w:p w:rsidR="00E56F53" w:rsidRDefault="00E56F53" w:rsidP="007852CF">
            <w:r w:rsidRPr="00E56F53">
              <w:t>Epworth sleepiness score</w:t>
            </w:r>
          </w:p>
        </w:tc>
      </w:tr>
      <w:tr w:rsidR="00E56F53" w:rsidTr="00E56F53">
        <w:tc>
          <w:tcPr>
            <w:tcW w:w="4621" w:type="dxa"/>
          </w:tcPr>
          <w:p w:rsidR="00E56F53" w:rsidRPr="00E56F53" w:rsidRDefault="00E56F53" w:rsidP="007852CF">
            <w:r w:rsidRPr="00E56F53">
              <w:t>U+Es and LFTs</w:t>
            </w:r>
          </w:p>
        </w:tc>
        <w:tc>
          <w:tcPr>
            <w:tcW w:w="4621" w:type="dxa"/>
          </w:tcPr>
          <w:p w:rsidR="00E56F53" w:rsidRDefault="00E56F53" w:rsidP="007852CF">
            <w:r>
              <w:t>Carboxyhaemoglobin</w:t>
            </w:r>
            <w:r w:rsidR="00A40D92">
              <w:t xml:space="preserve"> (smokers or possible carbon monoxide exposure).</w:t>
            </w:r>
          </w:p>
        </w:tc>
      </w:tr>
    </w:tbl>
    <w:p w:rsidR="002A2514" w:rsidRPr="002A2514" w:rsidRDefault="002A2514" w:rsidP="005D342C">
      <w:pPr>
        <w:rPr>
          <w:b/>
          <w:sz w:val="28"/>
          <w:szCs w:val="28"/>
        </w:rPr>
      </w:pPr>
      <w:r w:rsidRPr="002A2514">
        <w:rPr>
          <w:b/>
          <w:sz w:val="28"/>
          <w:szCs w:val="28"/>
        </w:rPr>
        <w:t>Referral</w:t>
      </w:r>
    </w:p>
    <w:p w:rsidR="001A7748" w:rsidRDefault="001A7748" w:rsidP="001A7748">
      <w:pPr>
        <w:pStyle w:val="ListParagraph"/>
        <w:numPr>
          <w:ilvl w:val="0"/>
          <w:numId w:val="12"/>
        </w:numPr>
      </w:pPr>
      <w:r>
        <w:t>P</w:t>
      </w:r>
      <w:r w:rsidR="00E56F53">
        <w:t>ersiste</w:t>
      </w:r>
      <w:r>
        <w:t xml:space="preserve">nt, unexplained erythrocytosis: </w:t>
      </w:r>
      <w:r w:rsidR="00201C96">
        <w:t>routine referral</w:t>
      </w:r>
      <w:r>
        <w:t>.</w:t>
      </w:r>
    </w:p>
    <w:p w:rsidR="001A7748" w:rsidRDefault="00E56F53" w:rsidP="001A7748">
      <w:pPr>
        <w:pStyle w:val="ListParagraph"/>
        <w:numPr>
          <w:ilvl w:val="0"/>
          <w:numId w:val="12"/>
        </w:numPr>
      </w:pPr>
      <w:r>
        <w:t>Symptoms of hyperviscosity may need pr</w:t>
      </w:r>
      <w:r w:rsidR="001A7748">
        <w:t>ompt treatment: urgent discussion.</w:t>
      </w:r>
    </w:p>
    <w:p w:rsidR="00CC77C0" w:rsidRDefault="001A7748" w:rsidP="004D0C4B">
      <w:pPr>
        <w:pStyle w:val="ListParagraph"/>
        <w:numPr>
          <w:ilvl w:val="0"/>
          <w:numId w:val="12"/>
        </w:numPr>
      </w:pPr>
      <w:r>
        <w:t>U</w:t>
      </w:r>
      <w:r w:rsidR="005D342C">
        <w:t>rgent referral if no congenital heart di</w:t>
      </w:r>
      <w:r w:rsidR="00E56F53">
        <w:t>sease with Haematocrit (</w:t>
      </w:r>
      <w:proofErr w:type="spellStart"/>
      <w:r w:rsidR="00E56F53">
        <w:t>Hct</w:t>
      </w:r>
      <w:proofErr w:type="spellEnd"/>
      <w:r w:rsidR="00E56F53">
        <w:t xml:space="preserve">) of </w:t>
      </w:r>
      <w:r w:rsidR="005D342C">
        <w:t>&gt;0.60 in men</w:t>
      </w:r>
      <w:r w:rsidR="00E56F53">
        <w:t xml:space="preserve"> and </w:t>
      </w:r>
      <w:r w:rsidR="005D342C">
        <w:t>&gt;0.56 in females</w:t>
      </w:r>
      <w:r w:rsidR="00E56F53">
        <w:t>.</w:t>
      </w:r>
    </w:p>
    <w:p w:rsidR="004D0C4B" w:rsidRPr="00CC77C0" w:rsidRDefault="004D0C4B" w:rsidP="00CC77C0">
      <w:r w:rsidRPr="00CC77C0">
        <w:rPr>
          <w:b/>
          <w:sz w:val="28"/>
          <w:szCs w:val="28"/>
        </w:rPr>
        <w:t>References</w:t>
      </w:r>
    </w:p>
    <w:p w:rsidR="00DF5D0A" w:rsidRDefault="00BA4C63" w:rsidP="007852CF">
      <w:pPr>
        <w:pStyle w:val="ListParagraph"/>
        <w:numPr>
          <w:ilvl w:val="0"/>
          <w:numId w:val="15"/>
        </w:numPr>
      </w:pPr>
      <w:r w:rsidRPr="00201C96">
        <w:rPr>
          <w:sz w:val="18"/>
          <w:szCs w:val="18"/>
        </w:rPr>
        <w:t xml:space="preserve">Br J </w:t>
      </w:r>
      <w:proofErr w:type="spellStart"/>
      <w:r w:rsidRPr="00201C96">
        <w:rPr>
          <w:sz w:val="18"/>
          <w:szCs w:val="18"/>
        </w:rPr>
        <w:t>Haematol</w:t>
      </w:r>
      <w:proofErr w:type="spellEnd"/>
      <w:r w:rsidRPr="00201C96">
        <w:rPr>
          <w:sz w:val="18"/>
          <w:szCs w:val="18"/>
        </w:rPr>
        <w:t>. 2005 Jul</w:t>
      </w:r>
      <w:proofErr w:type="gramStart"/>
      <w:r w:rsidRPr="00201C96">
        <w:rPr>
          <w:sz w:val="18"/>
          <w:szCs w:val="18"/>
        </w:rPr>
        <w:t>;130</w:t>
      </w:r>
      <w:proofErr w:type="gramEnd"/>
      <w:r w:rsidRPr="00201C96">
        <w:rPr>
          <w:sz w:val="18"/>
          <w:szCs w:val="18"/>
        </w:rPr>
        <w:t xml:space="preserve">(2):174-95. Guidelines for the diagnosis, investigation and management of polycythaemia/erythrocytosis. </w:t>
      </w:r>
      <w:proofErr w:type="spellStart"/>
      <w:r w:rsidRPr="00201C96">
        <w:rPr>
          <w:sz w:val="18"/>
          <w:szCs w:val="18"/>
        </w:rPr>
        <w:t>McMullin</w:t>
      </w:r>
      <w:proofErr w:type="spellEnd"/>
      <w:r w:rsidRPr="00201C96">
        <w:rPr>
          <w:sz w:val="18"/>
          <w:szCs w:val="18"/>
        </w:rPr>
        <w:t xml:space="preserve"> MF et al.</w:t>
      </w:r>
      <w:bookmarkStart w:id="0" w:name="_GoBack"/>
      <w:bookmarkEnd w:id="0"/>
    </w:p>
    <w:p w:rsidR="00F82594" w:rsidRPr="006658FF" w:rsidRDefault="00F82594" w:rsidP="007852CF">
      <w:pPr>
        <w:rPr>
          <w:b/>
          <w:u w:val="single"/>
        </w:rPr>
      </w:pPr>
    </w:p>
    <w:sectPr w:rsidR="00F82594" w:rsidRPr="006658FF" w:rsidSect="00CC77C0"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EC" w:rsidRDefault="00337FEC" w:rsidP="006658FF">
      <w:pPr>
        <w:spacing w:after="0" w:line="240" w:lineRule="auto"/>
      </w:pPr>
      <w:r>
        <w:separator/>
      </w:r>
    </w:p>
  </w:endnote>
  <w:end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2D" w:rsidRPr="00741A2D" w:rsidRDefault="00741A2D">
    <w:pPr>
      <w:pStyle w:val="Footer"/>
      <w:rPr>
        <w:sz w:val="18"/>
        <w:szCs w:val="18"/>
      </w:rPr>
    </w:pPr>
    <w:r w:rsidRPr="00741A2D">
      <w:rPr>
        <w:sz w:val="18"/>
        <w:szCs w:val="18"/>
      </w:rPr>
      <w:t xml:space="preserve">Erythrocytosis guidance. Authors: Nigel </w:t>
    </w:r>
    <w:proofErr w:type="spellStart"/>
    <w:r w:rsidRPr="00741A2D">
      <w:rPr>
        <w:sz w:val="18"/>
        <w:szCs w:val="18"/>
      </w:rPr>
      <w:t>Sargant</w:t>
    </w:r>
    <w:proofErr w:type="spellEnd"/>
    <w:r w:rsidRPr="00741A2D">
      <w:rPr>
        <w:sz w:val="18"/>
        <w:szCs w:val="18"/>
      </w:rPr>
      <w:t>, Noel Ryman. Version 1. Approved on: 01 March 2018. Review date 01 March 2021</w:t>
    </w:r>
  </w:p>
  <w:p w:rsidR="00741A2D" w:rsidRDefault="00741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EC" w:rsidRDefault="00337FEC" w:rsidP="006658FF">
      <w:pPr>
        <w:spacing w:after="0" w:line="240" w:lineRule="auto"/>
      </w:pPr>
      <w:r>
        <w:separator/>
      </w:r>
    </w:p>
  </w:footnote>
  <w:foot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255"/>
    <w:multiLevelType w:val="hybridMultilevel"/>
    <w:tmpl w:val="647668F0"/>
    <w:lvl w:ilvl="0" w:tplc="EF703D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6A56"/>
    <w:multiLevelType w:val="hybridMultilevel"/>
    <w:tmpl w:val="1D661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3F93"/>
    <w:multiLevelType w:val="hybridMultilevel"/>
    <w:tmpl w:val="626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60C5"/>
    <w:multiLevelType w:val="hybridMultilevel"/>
    <w:tmpl w:val="C772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108B5"/>
    <w:multiLevelType w:val="hybridMultilevel"/>
    <w:tmpl w:val="83FC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D37F4"/>
    <w:multiLevelType w:val="hybridMultilevel"/>
    <w:tmpl w:val="67F6B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64BAD"/>
    <w:multiLevelType w:val="hybridMultilevel"/>
    <w:tmpl w:val="D7B8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43609"/>
    <w:multiLevelType w:val="hybridMultilevel"/>
    <w:tmpl w:val="C0F8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D09A1"/>
    <w:multiLevelType w:val="hybridMultilevel"/>
    <w:tmpl w:val="C1CA0EF2"/>
    <w:lvl w:ilvl="0" w:tplc="9CE4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F2BFD"/>
    <w:multiLevelType w:val="hybridMultilevel"/>
    <w:tmpl w:val="103A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16CAE"/>
    <w:multiLevelType w:val="hybridMultilevel"/>
    <w:tmpl w:val="2954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91B41"/>
    <w:multiLevelType w:val="hybridMultilevel"/>
    <w:tmpl w:val="5A2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859FB"/>
    <w:multiLevelType w:val="hybridMultilevel"/>
    <w:tmpl w:val="22E2A5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65A0E"/>
    <w:multiLevelType w:val="hybridMultilevel"/>
    <w:tmpl w:val="3A0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D253F"/>
    <w:multiLevelType w:val="hybridMultilevel"/>
    <w:tmpl w:val="468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27"/>
    <w:rsid w:val="0004394B"/>
    <w:rsid w:val="00131E61"/>
    <w:rsid w:val="00163A1B"/>
    <w:rsid w:val="001A5BAE"/>
    <w:rsid w:val="001A7748"/>
    <w:rsid w:val="00201C96"/>
    <w:rsid w:val="002A2514"/>
    <w:rsid w:val="00336654"/>
    <w:rsid w:val="00337FEC"/>
    <w:rsid w:val="003531DC"/>
    <w:rsid w:val="003C01EF"/>
    <w:rsid w:val="003F67A5"/>
    <w:rsid w:val="00445EDF"/>
    <w:rsid w:val="004757A9"/>
    <w:rsid w:val="004D0C4B"/>
    <w:rsid w:val="004D69DE"/>
    <w:rsid w:val="00523785"/>
    <w:rsid w:val="00553515"/>
    <w:rsid w:val="005D342C"/>
    <w:rsid w:val="006008EA"/>
    <w:rsid w:val="006658FF"/>
    <w:rsid w:val="006E4CF4"/>
    <w:rsid w:val="006E68F1"/>
    <w:rsid w:val="006E6DF5"/>
    <w:rsid w:val="00716348"/>
    <w:rsid w:val="00741A2D"/>
    <w:rsid w:val="007852CF"/>
    <w:rsid w:val="007B666A"/>
    <w:rsid w:val="007D36B5"/>
    <w:rsid w:val="00801D60"/>
    <w:rsid w:val="00832185"/>
    <w:rsid w:val="00864BD3"/>
    <w:rsid w:val="00896CA2"/>
    <w:rsid w:val="00937D96"/>
    <w:rsid w:val="00A05727"/>
    <w:rsid w:val="00A222AA"/>
    <w:rsid w:val="00A40D92"/>
    <w:rsid w:val="00A6021A"/>
    <w:rsid w:val="00A95F47"/>
    <w:rsid w:val="00AC2D9A"/>
    <w:rsid w:val="00B22A75"/>
    <w:rsid w:val="00BA4C63"/>
    <w:rsid w:val="00C676B2"/>
    <w:rsid w:val="00CA295B"/>
    <w:rsid w:val="00CC77C0"/>
    <w:rsid w:val="00D00AA1"/>
    <w:rsid w:val="00DF5D0A"/>
    <w:rsid w:val="00E56F53"/>
    <w:rsid w:val="00E97AE3"/>
    <w:rsid w:val="00F82594"/>
    <w:rsid w:val="00FB5312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5FDD-D145-438E-AB7A-FE6D3432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Roger</dc:creator>
  <cp:lastModifiedBy>user</cp:lastModifiedBy>
  <cp:revision>4</cp:revision>
  <dcterms:created xsi:type="dcterms:W3CDTF">2018-02-28T10:42:00Z</dcterms:created>
  <dcterms:modified xsi:type="dcterms:W3CDTF">2018-04-17T09:21:00Z</dcterms:modified>
</cp:coreProperties>
</file>