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A5" w:rsidRDefault="00A05727" w:rsidP="003F67A5">
      <w:pPr>
        <w:ind w:left="3600" w:firstLine="720"/>
        <w:jc w:val="center"/>
        <w:rPr>
          <w:u w:val="single"/>
        </w:rPr>
      </w:pPr>
      <w:r>
        <w:rPr>
          <w:b/>
          <w:noProof/>
          <w:sz w:val="40"/>
          <w:lang w:eastAsia="en-GB"/>
        </w:rPr>
        <w:drawing>
          <wp:inline distT="0" distB="0" distL="0" distR="0" wp14:anchorId="37B53997" wp14:editId="3E6F3683">
            <wp:extent cx="2990850" cy="476250"/>
            <wp:effectExtent l="0" t="0" r="0" b="0"/>
            <wp:docPr id="1"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937D96" w:rsidRPr="003F67A5" w:rsidRDefault="000B6971" w:rsidP="003F67A5">
      <w:pPr>
        <w:jc w:val="center"/>
        <w:rPr>
          <w:b/>
          <w:sz w:val="36"/>
          <w:szCs w:val="36"/>
        </w:rPr>
      </w:pPr>
      <w:r w:rsidRPr="000B6971">
        <w:rPr>
          <w:b/>
          <w:sz w:val="36"/>
          <w:szCs w:val="36"/>
        </w:rPr>
        <w:t>Guidance on what to do when a paraprotein is found</w:t>
      </w:r>
    </w:p>
    <w:p w:rsidR="00EA2512" w:rsidRDefault="00EA2512" w:rsidP="00EA2512">
      <w:pPr>
        <w:rPr>
          <w:b/>
          <w:sz w:val="28"/>
          <w:szCs w:val="28"/>
        </w:rPr>
      </w:pPr>
      <w:r w:rsidRPr="003F67A5">
        <w:rPr>
          <w:b/>
          <w:sz w:val="28"/>
          <w:szCs w:val="28"/>
        </w:rPr>
        <w:t>Presentation</w:t>
      </w:r>
    </w:p>
    <w:p w:rsidR="005910D6" w:rsidRDefault="00DF4D0D" w:rsidP="005910D6">
      <w:pPr>
        <w:pStyle w:val="ListParagraph"/>
        <w:numPr>
          <w:ilvl w:val="0"/>
          <w:numId w:val="25"/>
        </w:numPr>
      </w:pPr>
      <w:r>
        <w:t xml:space="preserve">Broadly, immunoglobulins are requested in patients with unexplained anaemia, renal failure, hypercalcaemia, a raised total protein or raised plasma </w:t>
      </w:r>
      <w:r w:rsidR="00434884">
        <w:t>viscosity</w:t>
      </w:r>
      <w:r>
        <w:t xml:space="preserve">. </w:t>
      </w:r>
    </w:p>
    <w:p w:rsidR="005910D6" w:rsidRDefault="00DF4D0D" w:rsidP="005910D6">
      <w:pPr>
        <w:pStyle w:val="ListParagraph"/>
        <w:numPr>
          <w:ilvl w:val="0"/>
          <w:numId w:val="25"/>
        </w:numPr>
      </w:pPr>
      <w:r>
        <w:t xml:space="preserve">Paraproteins can be detected in the serum of about 1% of the population, and are frequently detected as a result of a myeloma screen. </w:t>
      </w:r>
    </w:p>
    <w:p w:rsidR="00DF4D0D" w:rsidRDefault="00DF4D0D" w:rsidP="005910D6">
      <w:pPr>
        <w:pStyle w:val="ListParagraph"/>
        <w:numPr>
          <w:ilvl w:val="0"/>
          <w:numId w:val="25"/>
        </w:numPr>
      </w:pPr>
      <w:r>
        <w:t xml:space="preserve">Monoclonal gammopathy of undetermined significance or MGUS is the presence of a monoclonal protein (also known as a paraprotein), in the serum or urine of an individual with no evidence of multiple myeloma, AL amyloidosis, </w:t>
      </w:r>
      <w:proofErr w:type="spellStart"/>
      <w:r>
        <w:t>Waldenstrom</w:t>
      </w:r>
      <w:proofErr w:type="spellEnd"/>
      <w:r>
        <w:t xml:space="preserve"> macroglobulinaemia</w:t>
      </w:r>
      <w:bookmarkStart w:id="0" w:name="_GoBack"/>
      <w:bookmarkEnd w:id="0"/>
      <w:r>
        <w:t xml:space="preserve"> or other related disorder.</w:t>
      </w:r>
    </w:p>
    <w:p w:rsidR="000B6971" w:rsidRDefault="000B6971" w:rsidP="000B6971">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Diagnostic criteria for MGUS</w:t>
      </w:r>
    </w:p>
    <w:p w:rsidR="000B6971" w:rsidRDefault="000B6971" w:rsidP="000B6971">
      <w:pPr>
        <w:autoSpaceDE w:val="0"/>
        <w:autoSpaceDN w:val="0"/>
        <w:adjustRightInd w:val="0"/>
        <w:spacing w:after="0" w:line="240" w:lineRule="auto"/>
        <w:rPr>
          <w:rFonts w:ascii="Helvetica-Bold" w:hAnsi="Helvetica-Bold" w:cs="Helvetica-Bold"/>
          <w:b/>
          <w:bCs/>
          <w:color w:val="000000"/>
          <w:sz w:val="24"/>
          <w:szCs w:val="24"/>
        </w:rPr>
      </w:pPr>
    </w:p>
    <w:p w:rsidR="000B6971" w:rsidRPr="00C0703B" w:rsidRDefault="000B6971" w:rsidP="000B6971">
      <w:pPr>
        <w:pStyle w:val="ListParagraph"/>
        <w:numPr>
          <w:ilvl w:val="0"/>
          <w:numId w:val="23"/>
        </w:numPr>
        <w:autoSpaceDE w:val="0"/>
        <w:autoSpaceDN w:val="0"/>
        <w:adjustRightInd w:val="0"/>
        <w:spacing w:after="0" w:line="240" w:lineRule="auto"/>
      </w:pPr>
      <w:r w:rsidRPr="00C0703B">
        <w:t>Paraprotein in serum &lt;30g/L.</w:t>
      </w:r>
    </w:p>
    <w:p w:rsidR="000B6971" w:rsidRPr="00C0703B" w:rsidRDefault="000B6971" w:rsidP="00C0703B">
      <w:pPr>
        <w:pStyle w:val="ListParagraph"/>
        <w:numPr>
          <w:ilvl w:val="0"/>
          <w:numId w:val="23"/>
        </w:numPr>
        <w:autoSpaceDE w:val="0"/>
        <w:autoSpaceDN w:val="0"/>
        <w:adjustRightInd w:val="0"/>
        <w:spacing w:after="0" w:line="240" w:lineRule="auto"/>
      </w:pPr>
      <w:r w:rsidRPr="00C0703B">
        <w:t>Bone marrow clonal plasma cells &lt;10% and low level plasma cell</w:t>
      </w:r>
      <w:r w:rsidR="00C0703B">
        <w:t xml:space="preserve"> </w:t>
      </w:r>
      <w:r w:rsidRPr="00C0703B">
        <w:t>infiltration in a trephine biopsy.</w:t>
      </w:r>
    </w:p>
    <w:p w:rsidR="000B6971" w:rsidRPr="00C0703B" w:rsidRDefault="000B6971" w:rsidP="00C0703B">
      <w:pPr>
        <w:pStyle w:val="ListParagraph"/>
        <w:numPr>
          <w:ilvl w:val="0"/>
          <w:numId w:val="23"/>
        </w:numPr>
        <w:autoSpaceDE w:val="0"/>
        <w:autoSpaceDN w:val="0"/>
        <w:adjustRightInd w:val="0"/>
        <w:spacing w:after="0" w:line="240" w:lineRule="auto"/>
      </w:pPr>
      <w:r w:rsidRPr="00C0703B">
        <w:t>No myeloma-related organ or tissue impairment (including bone lesions</w:t>
      </w:r>
      <w:r w:rsidR="00C0703B">
        <w:t xml:space="preserve"> </w:t>
      </w:r>
      <w:r w:rsidRPr="00C0703B">
        <w:t>or symptoms).</w:t>
      </w:r>
    </w:p>
    <w:p w:rsidR="000B6971" w:rsidRPr="00C0703B" w:rsidRDefault="000B6971" w:rsidP="00C0703B">
      <w:pPr>
        <w:pStyle w:val="ListParagraph"/>
        <w:numPr>
          <w:ilvl w:val="0"/>
          <w:numId w:val="23"/>
        </w:numPr>
        <w:autoSpaceDE w:val="0"/>
        <w:autoSpaceDN w:val="0"/>
        <w:adjustRightInd w:val="0"/>
        <w:spacing w:after="0" w:line="240" w:lineRule="auto"/>
      </w:pPr>
      <w:r w:rsidRPr="00C0703B">
        <w:t>No evidence of other B-cell lymphoproliferative disorder or light chain</w:t>
      </w:r>
      <w:r w:rsidR="00C0703B">
        <w:t xml:space="preserve"> </w:t>
      </w:r>
      <w:r w:rsidRPr="00C0703B">
        <w:t>associated amyloidosis or other light chain, heavy chain or immunoglobulin-associated tissue damage.</w:t>
      </w:r>
    </w:p>
    <w:p w:rsidR="000B6971" w:rsidRDefault="000B6971" w:rsidP="000B6971"/>
    <w:p w:rsidR="00EA2512" w:rsidRDefault="00EA2512" w:rsidP="000B6971">
      <w:pPr>
        <w:rPr>
          <w:b/>
          <w:sz w:val="28"/>
          <w:szCs w:val="28"/>
        </w:rPr>
      </w:pPr>
      <w:r w:rsidRPr="003F67A5">
        <w:rPr>
          <w:b/>
          <w:sz w:val="28"/>
          <w:szCs w:val="28"/>
        </w:rPr>
        <w:t xml:space="preserve">Clinical </w:t>
      </w:r>
      <w:r w:rsidR="000B6971">
        <w:rPr>
          <w:b/>
          <w:sz w:val="28"/>
          <w:szCs w:val="28"/>
        </w:rPr>
        <w:t>Findings</w:t>
      </w:r>
    </w:p>
    <w:p w:rsidR="00DF4D0D" w:rsidRDefault="00DF4D0D" w:rsidP="00DF4D0D">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Risk stratification for MGUS</w:t>
      </w:r>
    </w:p>
    <w:p w:rsidR="00DF4D0D" w:rsidRPr="00C0703B" w:rsidRDefault="00DF4D0D" w:rsidP="00C0703B">
      <w:pPr>
        <w:pStyle w:val="ListParagraph"/>
      </w:pPr>
    </w:p>
    <w:p w:rsidR="005910D6" w:rsidRPr="00C0703B" w:rsidRDefault="005910D6" w:rsidP="00C0703B">
      <w:pPr>
        <w:pStyle w:val="ListParagraph"/>
        <w:numPr>
          <w:ilvl w:val="0"/>
          <w:numId w:val="25"/>
        </w:numPr>
      </w:pPr>
      <w:r w:rsidRPr="00C0703B">
        <w:t xml:space="preserve">MGUS is uncommon below the age of 50 years and the prevalence increases with age. It is important to identify and monitor those patients at highest risk of progression to significant disease, whilst avoiding unnecessary follow-up of patients at low risk of progression. </w:t>
      </w:r>
    </w:p>
    <w:p w:rsidR="005910D6" w:rsidRPr="00C0703B" w:rsidRDefault="005910D6" w:rsidP="00C0703B">
      <w:pPr>
        <w:pStyle w:val="ListParagraph"/>
        <w:numPr>
          <w:ilvl w:val="0"/>
          <w:numId w:val="25"/>
        </w:numPr>
      </w:pPr>
      <w:r w:rsidRPr="00C0703B">
        <w:t>Population studies show the risk of MGUS is approximately: 3% in people over 50 years old, 5% in people over 70 and 7.5% in people over 85.</w:t>
      </w:r>
    </w:p>
    <w:p w:rsidR="005910D6" w:rsidRPr="00C0703B" w:rsidRDefault="00DF4D0D" w:rsidP="00C0703B">
      <w:pPr>
        <w:pStyle w:val="ListParagraph"/>
        <w:numPr>
          <w:ilvl w:val="0"/>
          <w:numId w:val="25"/>
        </w:numPr>
      </w:pPr>
      <w:r w:rsidRPr="00C0703B">
        <w:t>Three parameters can separate patients with MGUS into those with low,</w:t>
      </w:r>
      <w:r w:rsidR="005910D6" w:rsidRPr="00C0703B">
        <w:t xml:space="preserve"> </w:t>
      </w:r>
      <w:r w:rsidRPr="00C0703B">
        <w:t xml:space="preserve">intermediate and high risks of developing multiple myeloma. </w:t>
      </w:r>
    </w:p>
    <w:p w:rsidR="005910D6" w:rsidRPr="00C0703B" w:rsidRDefault="00DF4D0D" w:rsidP="00C0703B">
      <w:pPr>
        <w:pStyle w:val="ListParagraph"/>
        <w:numPr>
          <w:ilvl w:val="0"/>
          <w:numId w:val="25"/>
        </w:numPr>
      </w:pPr>
      <w:r w:rsidRPr="00C0703B">
        <w:t>They are the</w:t>
      </w:r>
      <w:r w:rsidR="005910D6" w:rsidRPr="00C0703B">
        <w:t xml:space="preserve"> </w:t>
      </w:r>
      <w:r w:rsidRPr="00C0703B">
        <w:t>serum paraprotein level, the immunoglobulin (Ig) isotype and the free light</w:t>
      </w:r>
      <w:r w:rsidR="005910D6" w:rsidRPr="00C0703B">
        <w:t xml:space="preserve"> </w:t>
      </w:r>
      <w:r w:rsidRPr="00C0703B">
        <w:t xml:space="preserve">chain (FLC) ratio. </w:t>
      </w:r>
    </w:p>
    <w:p w:rsidR="005910D6" w:rsidRPr="00C0703B" w:rsidRDefault="00DF4D0D" w:rsidP="00C0703B">
      <w:pPr>
        <w:pStyle w:val="ListParagraph"/>
        <w:numPr>
          <w:ilvl w:val="0"/>
          <w:numId w:val="25"/>
        </w:numPr>
      </w:pPr>
      <w:r w:rsidRPr="00C0703B">
        <w:t>The Intermediate grouping is further subdivided</w:t>
      </w:r>
      <w:r w:rsidR="005910D6" w:rsidRPr="00C0703B">
        <w:t xml:space="preserve"> </w:t>
      </w:r>
      <w:r w:rsidRPr="00C0703B">
        <w:t xml:space="preserve">into “low-intermediate” and “high-intermediate”. </w:t>
      </w:r>
    </w:p>
    <w:p w:rsidR="00DF4D0D" w:rsidRPr="00C0703B" w:rsidRDefault="00DF4D0D" w:rsidP="00C0703B">
      <w:pPr>
        <w:pStyle w:val="ListParagraph"/>
        <w:numPr>
          <w:ilvl w:val="0"/>
          <w:numId w:val="25"/>
        </w:numPr>
      </w:pPr>
      <w:r w:rsidRPr="00C0703B">
        <w:t>Please note that any patient with symptoms, signs or results suggestive of myeloma, other lymphoproliferative disorders or AL amyloidosis need to be dealt with outside of this stratification listing, and need to seen by a Consultant Haematologist.</w:t>
      </w:r>
    </w:p>
    <w:p w:rsidR="00DF4D0D" w:rsidRDefault="00DF4D0D" w:rsidP="00DF4D0D"/>
    <w:p w:rsidR="001E7D9E" w:rsidRDefault="001E7D9E" w:rsidP="001E7D9E">
      <w:pPr>
        <w:ind w:left="3600" w:firstLine="720"/>
      </w:pPr>
      <w:r>
        <w:rPr>
          <w:b/>
          <w:noProof/>
          <w:sz w:val="40"/>
          <w:lang w:eastAsia="en-GB"/>
        </w:rPr>
        <w:lastRenderedPageBreak/>
        <w:drawing>
          <wp:inline distT="0" distB="0" distL="0" distR="0" wp14:anchorId="002B1030" wp14:editId="0F18BA16">
            <wp:extent cx="2990850" cy="476250"/>
            <wp:effectExtent l="0" t="0" r="0" b="0"/>
            <wp:docPr id="2" name="Picture 2"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DF4D0D" w:rsidRPr="00D63715" w:rsidTr="00E8342D">
        <w:tc>
          <w:tcPr>
            <w:tcW w:w="4621" w:type="dxa"/>
          </w:tcPr>
          <w:p w:rsidR="00DF4D0D" w:rsidRPr="00C0703B" w:rsidRDefault="00DF4D0D" w:rsidP="00E8342D">
            <w:pPr>
              <w:autoSpaceDE w:val="0"/>
              <w:autoSpaceDN w:val="0"/>
              <w:adjustRightInd w:val="0"/>
              <w:spacing w:after="0" w:line="240" w:lineRule="auto"/>
              <w:rPr>
                <w:b/>
              </w:rPr>
            </w:pPr>
            <w:r w:rsidRPr="00C0703B">
              <w:rPr>
                <w:b/>
              </w:rPr>
              <w:t xml:space="preserve">Risk Group </w:t>
            </w:r>
          </w:p>
          <w:p w:rsidR="00DF4D0D" w:rsidRPr="00C0703B" w:rsidRDefault="00DF4D0D" w:rsidP="00E8342D">
            <w:pPr>
              <w:spacing w:after="0" w:line="240" w:lineRule="auto"/>
              <w:rPr>
                <w:b/>
              </w:rPr>
            </w:pPr>
          </w:p>
        </w:tc>
        <w:tc>
          <w:tcPr>
            <w:tcW w:w="4621" w:type="dxa"/>
          </w:tcPr>
          <w:p w:rsidR="00DF4D0D" w:rsidRPr="00C0703B" w:rsidRDefault="00DF4D0D" w:rsidP="00E8342D">
            <w:pPr>
              <w:autoSpaceDE w:val="0"/>
              <w:autoSpaceDN w:val="0"/>
              <w:adjustRightInd w:val="0"/>
              <w:spacing w:after="0" w:line="240" w:lineRule="auto"/>
              <w:rPr>
                <w:b/>
              </w:rPr>
            </w:pPr>
            <w:r w:rsidRPr="00C0703B">
              <w:rPr>
                <w:b/>
              </w:rPr>
              <w:t>20 year risk of progression to myeloma (%)</w:t>
            </w:r>
          </w:p>
          <w:p w:rsidR="00DF4D0D" w:rsidRPr="00C0703B" w:rsidRDefault="00DF4D0D" w:rsidP="00E8342D">
            <w:pPr>
              <w:spacing w:after="0" w:line="240" w:lineRule="auto"/>
              <w:rPr>
                <w:b/>
              </w:rPr>
            </w:pPr>
          </w:p>
        </w:tc>
      </w:tr>
      <w:tr w:rsidR="00DF4D0D" w:rsidRPr="00D63715" w:rsidTr="00E8342D">
        <w:tc>
          <w:tcPr>
            <w:tcW w:w="4621" w:type="dxa"/>
          </w:tcPr>
          <w:p w:rsidR="00DF4D0D" w:rsidRPr="00C0703B" w:rsidRDefault="00DF4D0D" w:rsidP="00E8342D">
            <w:pPr>
              <w:autoSpaceDE w:val="0"/>
              <w:autoSpaceDN w:val="0"/>
              <w:adjustRightInd w:val="0"/>
              <w:spacing w:after="0" w:line="240" w:lineRule="auto"/>
              <w:rPr>
                <w:b/>
              </w:rPr>
            </w:pPr>
            <w:r w:rsidRPr="00C0703B">
              <w:rPr>
                <w:b/>
              </w:rPr>
              <w:t>Low risk</w:t>
            </w:r>
          </w:p>
          <w:p w:rsidR="00DF4D0D" w:rsidRPr="00C0703B" w:rsidRDefault="00DF4D0D" w:rsidP="00E8342D">
            <w:pPr>
              <w:autoSpaceDE w:val="0"/>
              <w:autoSpaceDN w:val="0"/>
              <w:adjustRightInd w:val="0"/>
              <w:spacing w:after="0" w:line="240" w:lineRule="auto"/>
            </w:pPr>
            <w:r w:rsidRPr="00C0703B">
              <w:t>Serum Paraprotein &lt;15g/L</w:t>
            </w:r>
          </w:p>
          <w:p w:rsidR="00DF4D0D" w:rsidRPr="00C0703B" w:rsidRDefault="00DF4D0D" w:rsidP="00E8342D">
            <w:pPr>
              <w:autoSpaceDE w:val="0"/>
              <w:autoSpaceDN w:val="0"/>
              <w:adjustRightInd w:val="0"/>
              <w:spacing w:after="0" w:line="240" w:lineRule="auto"/>
            </w:pPr>
            <w:r w:rsidRPr="00C0703B">
              <w:t>IgG isotype</w:t>
            </w:r>
          </w:p>
          <w:p w:rsidR="00DF4D0D" w:rsidRPr="00C0703B" w:rsidRDefault="00DF4D0D" w:rsidP="00E8342D">
            <w:pPr>
              <w:autoSpaceDE w:val="0"/>
              <w:autoSpaceDN w:val="0"/>
              <w:adjustRightInd w:val="0"/>
              <w:spacing w:after="0" w:line="240" w:lineRule="auto"/>
            </w:pPr>
            <w:r w:rsidRPr="00C0703B">
              <w:t>Appropriate FLC ratio</w:t>
            </w:r>
          </w:p>
        </w:tc>
        <w:tc>
          <w:tcPr>
            <w:tcW w:w="4621" w:type="dxa"/>
          </w:tcPr>
          <w:p w:rsidR="00DF4D0D" w:rsidRPr="00C0703B" w:rsidRDefault="00DF4D0D" w:rsidP="00E8342D">
            <w:pPr>
              <w:autoSpaceDE w:val="0"/>
              <w:autoSpaceDN w:val="0"/>
              <w:adjustRightInd w:val="0"/>
              <w:spacing w:after="0" w:line="240" w:lineRule="auto"/>
            </w:pPr>
            <w:r w:rsidRPr="00C0703B">
              <w:t>5%</w:t>
            </w:r>
          </w:p>
          <w:p w:rsidR="00DF4D0D" w:rsidRPr="00D63715" w:rsidRDefault="00DF4D0D" w:rsidP="00E8342D">
            <w:pPr>
              <w:spacing w:after="0" w:line="240" w:lineRule="auto"/>
            </w:pPr>
          </w:p>
        </w:tc>
      </w:tr>
      <w:tr w:rsidR="00DF4D0D" w:rsidRPr="00D63715" w:rsidTr="00E8342D">
        <w:tc>
          <w:tcPr>
            <w:tcW w:w="4621" w:type="dxa"/>
          </w:tcPr>
          <w:p w:rsidR="00DF4D0D" w:rsidRPr="00C0703B" w:rsidRDefault="00DF4D0D" w:rsidP="00E8342D">
            <w:pPr>
              <w:autoSpaceDE w:val="0"/>
              <w:autoSpaceDN w:val="0"/>
              <w:adjustRightInd w:val="0"/>
              <w:spacing w:after="0" w:line="240" w:lineRule="auto"/>
              <w:rPr>
                <w:b/>
              </w:rPr>
            </w:pPr>
            <w:r w:rsidRPr="00C0703B">
              <w:rPr>
                <w:b/>
              </w:rPr>
              <w:t>Low-intermediate risk</w:t>
            </w:r>
          </w:p>
          <w:p w:rsidR="00DF4D0D" w:rsidRPr="00C0703B" w:rsidRDefault="00DF4D0D" w:rsidP="00E8342D">
            <w:pPr>
              <w:autoSpaceDE w:val="0"/>
              <w:autoSpaceDN w:val="0"/>
              <w:adjustRightInd w:val="0"/>
              <w:spacing w:after="0" w:line="240" w:lineRule="auto"/>
            </w:pPr>
            <w:r w:rsidRPr="00C0703B">
              <w:t>Presence of an IgA or IgM isotype</w:t>
            </w:r>
          </w:p>
          <w:p w:rsidR="00DF4D0D" w:rsidRPr="00C0703B" w:rsidRDefault="00DF4D0D" w:rsidP="00E8342D">
            <w:pPr>
              <w:autoSpaceDE w:val="0"/>
              <w:autoSpaceDN w:val="0"/>
              <w:adjustRightInd w:val="0"/>
              <w:spacing w:after="0" w:line="240" w:lineRule="auto"/>
            </w:pPr>
            <w:r w:rsidRPr="00C0703B">
              <w:t>(NB: Paraprotein must be less than 10g/L)</w:t>
            </w:r>
          </w:p>
          <w:p w:rsidR="00DF4D0D" w:rsidRPr="00C0703B" w:rsidRDefault="00DF4D0D" w:rsidP="00E8342D">
            <w:pPr>
              <w:autoSpaceDE w:val="0"/>
              <w:autoSpaceDN w:val="0"/>
              <w:adjustRightInd w:val="0"/>
              <w:spacing w:after="0" w:line="240" w:lineRule="auto"/>
            </w:pPr>
            <w:r w:rsidRPr="00C0703B">
              <w:t>OR</w:t>
            </w:r>
          </w:p>
          <w:p w:rsidR="00DF4D0D" w:rsidRPr="00C0703B" w:rsidRDefault="00DF4D0D" w:rsidP="00E8342D">
            <w:pPr>
              <w:autoSpaceDE w:val="0"/>
              <w:autoSpaceDN w:val="0"/>
              <w:adjustRightInd w:val="0"/>
              <w:spacing w:after="0" w:line="240" w:lineRule="auto"/>
            </w:pPr>
            <w:r w:rsidRPr="00C0703B">
              <w:t>Inappropriate FLC ratio</w:t>
            </w:r>
          </w:p>
        </w:tc>
        <w:tc>
          <w:tcPr>
            <w:tcW w:w="4621" w:type="dxa"/>
          </w:tcPr>
          <w:p w:rsidR="00DF4D0D" w:rsidRPr="00C0703B" w:rsidRDefault="00DF4D0D" w:rsidP="00E8342D">
            <w:pPr>
              <w:autoSpaceDE w:val="0"/>
              <w:autoSpaceDN w:val="0"/>
              <w:adjustRightInd w:val="0"/>
              <w:spacing w:after="0" w:line="240" w:lineRule="auto"/>
            </w:pPr>
            <w:r w:rsidRPr="00C0703B">
              <w:t>21%</w:t>
            </w:r>
          </w:p>
          <w:p w:rsidR="00DF4D0D" w:rsidRPr="00D63715" w:rsidRDefault="00DF4D0D" w:rsidP="00E8342D">
            <w:pPr>
              <w:spacing w:after="0" w:line="240" w:lineRule="auto"/>
            </w:pPr>
          </w:p>
        </w:tc>
      </w:tr>
      <w:tr w:rsidR="00DF4D0D" w:rsidRPr="00D63715" w:rsidTr="00E8342D">
        <w:tc>
          <w:tcPr>
            <w:tcW w:w="4621" w:type="dxa"/>
          </w:tcPr>
          <w:p w:rsidR="00DF4D0D" w:rsidRPr="00C0703B" w:rsidRDefault="00DF4D0D" w:rsidP="00E8342D">
            <w:pPr>
              <w:autoSpaceDE w:val="0"/>
              <w:autoSpaceDN w:val="0"/>
              <w:adjustRightInd w:val="0"/>
              <w:spacing w:after="0" w:line="240" w:lineRule="auto"/>
              <w:rPr>
                <w:b/>
              </w:rPr>
            </w:pPr>
            <w:r w:rsidRPr="00C0703B">
              <w:rPr>
                <w:b/>
              </w:rPr>
              <w:t>High-intermediate risk</w:t>
            </w:r>
          </w:p>
          <w:p w:rsidR="00DF4D0D" w:rsidRPr="00C0703B" w:rsidRDefault="00DF4D0D" w:rsidP="00E8342D">
            <w:pPr>
              <w:autoSpaceDE w:val="0"/>
              <w:autoSpaceDN w:val="0"/>
              <w:adjustRightInd w:val="0"/>
              <w:spacing w:after="0" w:line="240" w:lineRule="auto"/>
            </w:pPr>
            <w:r w:rsidRPr="00C0703B">
              <w:t>Presence of an IgA or IgM isotype</w:t>
            </w:r>
          </w:p>
          <w:p w:rsidR="00DF4D0D" w:rsidRPr="00C0703B" w:rsidRDefault="00DF4D0D" w:rsidP="00E8342D">
            <w:pPr>
              <w:autoSpaceDE w:val="0"/>
              <w:autoSpaceDN w:val="0"/>
              <w:adjustRightInd w:val="0"/>
              <w:spacing w:after="0" w:line="240" w:lineRule="auto"/>
            </w:pPr>
            <w:r w:rsidRPr="00C0703B">
              <w:t>(NB: Paraprotein must be less than 10g/L)</w:t>
            </w:r>
          </w:p>
          <w:p w:rsidR="00DF4D0D" w:rsidRPr="00C0703B" w:rsidRDefault="00DF4D0D" w:rsidP="00E8342D">
            <w:pPr>
              <w:autoSpaceDE w:val="0"/>
              <w:autoSpaceDN w:val="0"/>
              <w:adjustRightInd w:val="0"/>
              <w:spacing w:after="0" w:line="240" w:lineRule="auto"/>
            </w:pPr>
            <w:r w:rsidRPr="00C0703B">
              <w:t>AND</w:t>
            </w:r>
          </w:p>
          <w:p w:rsidR="00DF4D0D" w:rsidRPr="00C0703B" w:rsidRDefault="00DF4D0D" w:rsidP="00E8342D">
            <w:pPr>
              <w:autoSpaceDE w:val="0"/>
              <w:autoSpaceDN w:val="0"/>
              <w:adjustRightInd w:val="0"/>
              <w:spacing w:after="0" w:line="240" w:lineRule="auto"/>
            </w:pPr>
            <w:r w:rsidRPr="00C0703B">
              <w:t>Inappropriate FLC ratio</w:t>
            </w:r>
          </w:p>
        </w:tc>
        <w:tc>
          <w:tcPr>
            <w:tcW w:w="4621" w:type="dxa"/>
          </w:tcPr>
          <w:p w:rsidR="00DF4D0D" w:rsidRPr="00C0703B" w:rsidRDefault="00DF4D0D" w:rsidP="00E8342D">
            <w:pPr>
              <w:autoSpaceDE w:val="0"/>
              <w:autoSpaceDN w:val="0"/>
              <w:adjustRightInd w:val="0"/>
              <w:spacing w:after="0" w:line="240" w:lineRule="auto"/>
            </w:pPr>
            <w:r w:rsidRPr="00C0703B">
              <w:t>37%</w:t>
            </w:r>
          </w:p>
          <w:p w:rsidR="00DF4D0D" w:rsidRPr="00D63715" w:rsidRDefault="00DF4D0D" w:rsidP="00E8342D">
            <w:pPr>
              <w:spacing w:after="0" w:line="240" w:lineRule="auto"/>
            </w:pPr>
          </w:p>
        </w:tc>
      </w:tr>
      <w:tr w:rsidR="00DF4D0D" w:rsidRPr="00D63715" w:rsidTr="00E8342D">
        <w:tc>
          <w:tcPr>
            <w:tcW w:w="4621" w:type="dxa"/>
          </w:tcPr>
          <w:p w:rsidR="00DF4D0D" w:rsidRPr="00C0703B" w:rsidRDefault="00DF4D0D" w:rsidP="00E8342D">
            <w:pPr>
              <w:autoSpaceDE w:val="0"/>
              <w:autoSpaceDN w:val="0"/>
              <w:adjustRightInd w:val="0"/>
              <w:spacing w:after="0" w:line="240" w:lineRule="auto"/>
              <w:rPr>
                <w:b/>
              </w:rPr>
            </w:pPr>
            <w:r w:rsidRPr="00C0703B">
              <w:rPr>
                <w:b/>
              </w:rPr>
              <w:t>High risk</w:t>
            </w:r>
          </w:p>
          <w:p w:rsidR="00DF4D0D" w:rsidRPr="00C0703B" w:rsidRDefault="00DF4D0D" w:rsidP="00E8342D">
            <w:pPr>
              <w:autoSpaceDE w:val="0"/>
              <w:autoSpaceDN w:val="0"/>
              <w:adjustRightInd w:val="0"/>
              <w:spacing w:after="0" w:line="240" w:lineRule="auto"/>
            </w:pPr>
            <w:r w:rsidRPr="00C0703B">
              <w:t>If IgG, Paraprotein &gt;15g/L</w:t>
            </w:r>
          </w:p>
          <w:p w:rsidR="00DF4D0D" w:rsidRPr="00C0703B" w:rsidRDefault="00DF4D0D" w:rsidP="00E8342D">
            <w:pPr>
              <w:autoSpaceDE w:val="0"/>
              <w:autoSpaceDN w:val="0"/>
              <w:adjustRightInd w:val="0"/>
              <w:spacing w:after="0" w:line="240" w:lineRule="auto"/>
            </w:pPr>
            <w:r w:rsidRPr="00C0703B">
              <w:t>If IgA or IgM, Paraprotein &gt;10g/L</w:t>
            </w:r>
          </w:p>
          <w:p w:rsidR="00DF4D0D" w:rsidRPr="00C0703B" w:rsidRDefault="00DF4D0D" w:rsidP="00E8342D">
            <w:pPr>
              <w:autoSpaceDE w:val="0"/>
              <w:autoSpaceDN w:val="0"/>
              <w:adjustRightInd w:val="0"/>
              <w:spacing w:after="0" w:line="240" w:lineRule="auto"/>
            </w:pPr>
            <w:r w:rsidRPr="00C0703B">
              <w:t>Inappropriate FLC ratio</w:t>
            </w:r>
          </w:p>
        </w:tc>
        <w:tc>
          <w:tcPr>
            <w:tcW w:w="4621" w:type="dxa"/>
          </w:tcPr>
          <w:p w:rsidR="00DF4D0D" w:rsidRPr="00C0703B" w:rsidRDefault="00DF4D0D" w:rsidP="00E8342D">
            <w:pPr>
              <w:spacing w:after="0" w:line="240" w:lineRule="auto"/>
            </w:pPr>
            <w:r w:rsidRPr="00C0703B">
              <w:t>58%</w:t>
            </w:r>
          </w:p>
          <w:p w:rsidR="00DF4D0D" w:rsidRPr="00D63715" w:rsidRDefault="00DF4D0D" w:rsidP="00E8342D">
            <w:pPr>
              <w:spacing w:after="0" w:line="240" w:lineRule="auto"/>
            </w:pPr>
          </w:p>
        </w:tc>
      </w:tr>
    </w:tbl>
    <w:p w:rsidR="001E7D9E" w:rsidRDefault="001E7D9E" w:rsidP="00DF4D0D">
      <w:pPr>
        <w:autoSpaceDE w:val="0"/>
        <w:autoSpaceDN w:val="0"/>
        <w:adjustRightInd w:val="0"/>
        <w:spacing w:after="0" w:line="240" w:lineRule="auto"/>
        <w:rPr>
          <w:rFonts w:ascii="Helvetica-Bold" w:hAnsi="Helvetica-Bold" w:cs="Helvetica-Bold"/>
          <w:b/>
          <w:bCs/>
          <w:sz w:val="24"/>
          <w:szCs w:val="24"/>
        </w:rPr>
      </w:pPr>
    </w:p>
    <w:p w:rsidR="00DF4D0D" w:rsidRDefault="00DF4D0D" w:rsidP="00DF4D0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Further Assessment</w:t>
      </w:r>
    </w:p>
    <w:p w:rsidR="00DF4D0D" w:rsidRDefault="00DF4D0D" w:rsidP="00DF4D0D">
      <w:pPr>
        <w:autoSpaceDE w:val="0"/>
        <w:autoSpaceDN w:val="0"/>
        <w:adjustRightInd w:val="0"/>
        <w:spacing w:after="0" w:line="240" w:lineRule="auto"/>
        <w:rPr>
          <w:rFonts w:ascii="Helvetica-Bold" w:hAnsi="Helvetica-Bold" w:cs="Helvetica-Bold"/>
          <w:b/>
          <w:bCs/>
          <w:sz w:val="24"/>
          <w:szCs w:val="24"/>
        </w:rPr>
      </w:pPr>
    </w:p>
    <w:p w:rsidR="00DF4D0D" w:rsidRPr="00C0703B" w:rsidRDefault="00DF4D0D" w:rsidP="00DF4D0D">
      <w:pPr>
        <w:autoSpaceDE w:val="0"/>
        <w:autoSpaceDN w:val="0"/>
        <w:adjustRightInd w:val="0"/>
        <w:spacing w:after="0" w:line="240" w:lineRule="auto"/>
        <w:rPr>
          <w:u w:val="single"/>
        </w:rPr>
      </w:pPr>
      <w:r w:rsidRPr="00C0703B">
        <w:rPr>
          <w:u w:val="single"/>
        </w:rPr>
        <w:t>Low Risk Group</w:t>
      </w:r>
    </w:p>
    <w:p w:rsidR="00DF4D0D" w:rsidRPr="00C0703B" w:rsidRDefault="00DF4D0D" w:rsidP="00DF4D0D">
      <w:pPr>
        <w:autoSpaceDE w:val="0"/>
        <w:autoSpaceDN w:val="0"/>
        <w:adjustRightInd w:val="0"/>
        <w:spacing w:after="0" w:line="240" w:lineRule="auto"/>
      </w:pPr>
      <w:r w:rsidRPr="00C0703B">
        <w:t>Given this group has the lowest transformation rate the majority of patients can be managed in the community as detailed below, without the need for further invasive testing or a Consultant referral. You can establish whether your patient falls into this group yourself, or alternatively write/telephone one of the haematologists for advice on the further management of the patient.</w:t>
      </w:r>
    </w:p>
    <w:p w:rsidR="00DF4D0D" w:rsidRPr="00C0703B" w:rsidRDefault="00DF4D0D" w:rsidP="00DF4D0D">
      <w:pPr>
        <w:autoSpaceDE w:val="0"/>
        <w:autoSpaceDN w:val="0"/>
        <w:adjustRightInd w:val="0"/>
        <w:spacing w:after="0" w:line="240" w:lineRule="auto"/>
      </w:pPr>
    </w:p>
    <w:p w:rsidR="00DF4D0D" w:rsidRPr="00C0703B" w:rsidRDefault="00DF4D0D" w:rsidP="00DF4D0D">
      <w:pPr>
        <w:autoSpaceDE w:val="0"/>
        <w:autoSpaceDN w:val="0"/>
        <w:adjustRightInd w:val="0"/>
        <w:spacing w:after="0" w:line="240" w:lineRule="auto"/>
        <w:rPr>
          <w:u w:val="single"/>
        </w:rPr>
      </w:pPr>
      <w:r w:rsidRPr="00C0703B">
        <w:rPr>
          <w:u w:val="single"/>
        </w:rPr>
        <w:t>Intermediate and High Risk Groups</w:t>
      </w:r>
    </w:p>
    <w:p w:rsidR="00DF4D0D" w:rsidRPr="00C0703B" w:rsidRDefault="00DF4D0D" w:rsidP="00DF4D0D">
      <w:pPr>
        <w:autoSpaceDE w:val="0"/>
        <w:autoSpaceDN w:val="0"/>
        <w:adjustRightInd w:val="0"/>
        <w:spacing w:after="0" w:line="240" w:lineRule="auto"/>
      </w:pPr>
      <w:r w:rsidRPr="00C0703B">
        <w:t>These patients should to be referred to haematology if appropriate for further assessment. These patients may be discharged back to your care for monitoring (as detailed below).</w:t>
      </w:r>
    </w:p>
    <w:p w:rsidR="00DF4D0D" w:rsidRPr="00C0703B" w:rsidRDefault="00DF4D0D" w:rsidP="00C0703B">
      <w:pPr>
        <w:autoSpaceDE w:val="0"/>
        <w:autoSpaceDN w:val="0"/>
        <w:adjustRightInd w:val="0"/>
        <w:spacing w:after="0" w:line="240" w:lineRule="auto"/>
      </w:pPr>
    </w:p>
    <w:p w:rsidR="00DF4D0D" w:rsidRPr="003E1C72" w:rsidRDefault="00DF4D0D" w:rsidP="00DF4D0D">
      <w:pPr>
        <w:autoSpaceDE w:val="0"/>
        <w:autoSpaceDN w:val="0"/>
        <w:adjustRightInd w:val="0"/>
        <w:spacing w:after="0" w:line="240" w:lineRule="auto"/>
        <w:rPr>
          <w:rFonts w:ascii="Helvetica-Bold" w:hAnsi="Helvetica-Bold" w:cs="Helvetica-Bold"/>
          <w:b/>
          <w:bCs/>
          <w:sz w:val="24"/>
          <w:szCs w:val="24"/>
        </w:rPr>
      </w:pPr>
      <w:r w:rsidRPr="003E1C72">
        <w:rPr>
          <w:rFonts w:ascii="Helvetica-Bold" w:hAnsi="Helvetica-Bold" w:cs="Helvetica-Bold"/>
          <w:b/>
          <w:bCs/>
          <w:sz w:val="24"/>
          <w:szCs w:val="24"/>
        </w:rPr>
        <w:t>Management of low risk patients in Primary Care or patients d</w:t>
      </w:r>
      <w:r>
        <w:rPr>
          <w:rFonts w:ascii="Helvetica-Bold" w:hAnsi="Helvetica-Bold" w:cs="Helvetica-Bold"/>
          <w:b/>
          <w:bCs/>
          <w:sz w:val="24"/>
          <w:szCs w:val="24"/>
        </w:rPr>
        <w:t>ischarged back for monitoring to</w:t>
      </w:r>
      <w:r w:rsidRPr="003E1C72">
        <w:rPr>
          <w:rFonts w:ascii="Helvetica-Bold" w:hAnsi="Helvetica-Bold" w:cs="Helvetica-Bold"/>
          <w:b/>
          <w:bCs/>
          <w:sz w:val="24"/>
          <w:szCs w:val="24"/>
        </w:rPr>
        <w:t xml:space="preserve"> Primary Care.</w:t>
      </w:r>
    </w:p>
    <w:p w:rsidR="00DF4D0D" w:rsidRDefault="00DF4D0D" w:rsidP="00DF4D0D">
      <w:pPr>
        <w:autoSpaceDE w:val="0"/>
        <w:autoSpaceDN w:val="0"/>
        <w:adjustRightInd w:val="0"/>
        <w:spacing w:after="0" w:line="240" w:lineRule="auto"/>
        <w:rPr>
          <w:rFonts w:ascii="Helvetica" w:hAnsi="Helvetica" w:cs="Helvetica"/>
          <w:color w:val="000000"/>
          <w:sz w:val="24"/>
          <w:szCs w:val="24"/>
        </w:rPr>
      </w:pPr>
    </w:p>
    <w:p w:rsidR="00DF4D0D" w:rsidRPr="00C0703B" w:rsidRDefault="00DF4D0D" w:rsidP="00DF4D0D">
      <w:pPr>
        <w:autoSpaceDE w:val="0"/>
        <w:autoSpaceDN w:val="0"/>
        <w:adjustRightInd w:val="0"/>
        <w:spacing w:after="0" w:line="240" w:lineRule="auto"/>
      </w:pPr>
      <w:r w:rsidRPr="00C0703B">
        <w:t>Patients should be assessed every 3 to 4 monthly initially. If these are stable the interval can be increased to every 6-12 months. They should specifically be asked about bone pain and episodes of infection. Blood tests should be carried out prior to each assessment as follows:</w:t>
      </w:r>
    </w:p>
    <w:p w:rsidR="00DF4D0D" w:rsidRPr="00C0703B" w:rsidRDefault="00DF4D0D" w:rsidP="00DF4D0D">
      <w:pPr>
        <w:autoSpaceDE w:val="0"/>
        <w:autoSpaceDN w:val="0"/>
        <w:adjustRightInd w:val="0"/>
        <w:spacing w:after="0" w:line="240" w:lineRule="auto"/>
      </w:pPr>
    </w:p>
    <w:p w:rsidR="00DF4D0D" w:rsidRPr="00C0703B" w:rsidRDefault="00DF4D0D" w:rsidP="00DF4D0D">
      <w:pPr>
        <w:pStyle w:val="ListParagraph"/>
        <w:numPr>
          <w:ilvl w:val="0"/>
          <w:numId w:val="24"/>
        </w:numPr>
        <w:autoSpaceDE w:val="0"/>
        <w:autoSpaceDN w:val="0"/>
        <w:adjustRightInd w:val="0"/>
        <w:spacing w:after="0" w:line="240" w:lineRule="auto"/>
      </w:pPr>
      <w:r w:rsidRPr="00C0703B">
        <w:t>Full blood count</w:t>
      </w:r>
    </w:p>
    <w:p w:rsidR="00DF4D0D" w:rsidRPr="00C0703B" w:rsidRDefault="00DF4D0D" w:rsidP="00DF4D0D">
      <w:pPr>
        <w:pStyle w:val="ListParagraph"/>
        <w:numPr>
          <w:ilvl w:val="0"/>
          <w:numId w:val="24"/>
        </w:numPr>
        <w:autoSpaceDE w:val="0"/>
        <w:autoSpaceDN w:val="0"/>
        <w:adjustRightInd w:val="0"/>
        <w:spacing w:after="0" w:line="240" w:lineRule="auto"/>
      </w:pPr>
      <w:r w:rsidRPr="00C0703B">
        <w:t>Renal, liver and bone function tests</w:t>
      </w:r>
    </w:p>
    <w:p w:rsidR="00DF4D0D" w:rsidRPr="00C0703B" w:rsidRDefault="00DF4D0D" w:rsidP="00DF4D0D">
      <w:pPr>
        <w:pStyle w:val="ListParagraph"/>
        <w:numPr>
          <w:ilvl w:val="0"/>
          <w:numId w:val="24"/>
        </w:numPr>
        <w:autoSpaceDE w:val="0"/>
        <w:autoSpaceDN w:val="0"/>
        <w:adjustRightInd w:val="0"/>
        <w:spacing w:after="0" w:line="240" w:lineRule="auto"/>
      </w:pPr>
      <w:r w:rsidRPr="00C0703B">
        <w:t>Serum electrophoresis and paraprotein quantification</w:t>
      </w:r>
    </w:p>
    <w:p w:rsidR="00DF4D0D" w:rsidRPr="00C0703B" w:rsidRDefault="00DF4D0D" w:rsidP="00DF4D0D">
      <w:pPr>
        <w:pStyle w:val="ListParagraph"/>
        <w:numPr>
          <w:ilvl w:val="0"/>
          <w:numId w:val="24"/>
        </w:numPr>
        <w:autoSpaceDE w:val="0"/>
        <w:autoSpaceDN w:val="0"/>
        <w:adjustRightInd w:val="0"/>
        <w:spacing w:after="0" w:line="240" w:lineRule="auto"/>
      </w:pPr>
      <w:r w:rsidRPr="00C0703B">
        <w:t>Serum immunoglobulins</w:t>
      </w:r>
    </w:p>
    <w:p w:rsidR="00DF4D0D" w:rsidRPr="00C0703B" w:rsidRDefault="00DF4D0D" w:rsidP="00DF4D0D">
      <w:pPr>
        <w:pStyle w:val="ListParagraph"/>
        <w:numPr>
          <w:ilvl w:val="0"/>
          <w:numId w:val="24"/>
        </w:numPr>
        <w:autoSpaceDE w:val="0"/>
        <w:autoSpaceDN w:val="0"/>
        <w:adjustRightInd w:val="0"/>
        <w:spacing w:after="0" w:line="240" w:lineRule="auto"/>
      </w:pPr>
      <w:r w:rsidRPr="00C0703B">
        <w:t>Serum free light chains</w:t>
      </w:r>
    </w:p>
    <w:p w:rsidR="00DF4D0D" w:rsidRDefault="00DF4D0D" w:rsidP="00DF4D0D">
      <w:pPr>
        <w:autoSpaceDE w:val="0"/>
        <w:autoSpaceDN w:val="0"/>
        <w:adjustRightInd w:val="0"/>
        <w:spacing w:after="0" w:line="240" w:lineRule="auto"/>
        <w:rPr>
          <w:rFonts w:ascii="Helvetica-Bold" w:hAnsi="Helvetica-Bold" w:cs="Helvetica-Bold"/>
          <w:b/>
          <w:bCs/>
          <w:sz w:val="24"/>
          <w:szCs w:val="24"/>
        </w:rPr>
      </w:pPr>
    </w:p>
    <w:p w:rsidR="00C0703B" w:rsidRDefault="00C0703B" w:rsidP="00DF4D0D">
      <w:pPr>
        <w:rPr>
          <w:b/>
          <w:sz w:val="28"/>
          <w:szCs w:val="28"/>
        </w:rPr>
      </w:pPr>
    </w:p>
    <w:p w:rsidR="001E7D9E" w:rsidRDefault="001E7D9E" w:rsidP="001E7D9E">
      <w:pPr>
        <w:ind w:left="3600" w:firstLine="720"/>
        <w:rPr>
          <w:b/>
          <w:sz w:val="28"/>
          <w:szCs w:val="28"/>
        </w:rPr>
      </w:pPr>
      <w:r>
        <w:rPr>
          <w:b/>
          <w:noProof/>
          <w:sz w:val="40"/>
          <w:lang w:eastAsia="en-GB"/>
        </w:rPr>
        <w:lastRenderedPageBreak/>
        <w:drawing>
          <wp:inline distT="0" distB="0" distL="0" distR="0" wp14:anchorId="467ED505" wp14:editId="0ABEEEE5">
            <wp:extent cx="2990850" cy="476250"/>
            <wp:effectExtent l="0" t="0" r="0" b="0"/>
            <wp:docPr id="4" name="Picture 4"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DF4D0D" w:rsidRPr="00DF4D0D" w:rsidRDefault="00DF4D0D" w:rsidP="00DF4D0D">
      <w:pPr>
        <w:rPr>
          <w:b/>
          <w:sz w:val="28"/>
          <w:szCs w:val="28"/>
        </w:rPr>
      </w:pPr>
      <w:r w:rsidRPr="002A2514">
        <w:rPr>
          <w:b/>
          <w:sz w:val="28"/>
          <w:szCs w:val="28"/>
        </w:rPr>
        <w:t>Referral</w:t>
      </w:r>
    </w:p>
    <w:p w:rsidR="00DF4D0D" w:rsidRPr="00C0703B" w:rsidRDefault="00DF4D0D" w:rsidP="00DF4D0D">
      <w:pPr>
        <w:autoSpaceDE w:val="0"/>
        <w:autoSpaceDN w:val="0"/>
        <w:adjustRightInd w:val="0"/>
        <w:spacing w:after="0" w:line="240" w:lineRule="auto"/>
      </w:pPr>
      <w:r w:rsidRPr="00C0703B">
        <w:t>Patients should be re-referred to the consultant clinic if they develop any of</w:t>
      </w:r>
    </w:p>
    <w:p w:rsidR="00DF4D0D" w:rsidRPr="00C0703B" w:rsidRDefault="00DF4D0D" w:rsidP="00DF4D0D">
      <w:pPr>
        <w:autoSpaceDE w:val="0"/>
        <w:autoSpaceDN w:val="0"/>
        <w:adjustRightInd w:val="0"/>
        <w:spacing w:after="0" w:line="240" w:lineRule="auto"/>
      </w:pPr>
      <w:proofErr w:type="gramStart"/>
      <w:r w:rsidRPr="00C0703B">
        <w:t>the</w:t>
      </w:r>
      <w:proofErr w:type="gramEnd"/>
      <w:r w:rsidRPr="00C0703B">
        <w:t xml:space="preserve"> following:</w:t>
      </w:r>
    </w:p>
    <w:p w:rsidR="00DF4D0D" w:rsidRPr="00C0703B" w:rsidRDefault="00DF4D0D" w:rsidP="00DF4D0D">
      <w:pPr>
        <w:pStyle w:val="ListParagraph"/>
        <w:numPr>
          <w:ilvl w:val="0"/>
          <w:numId w:val="23"/>
        </w:numPr>
        <w:autoSpaceDE w:val="0"/>
        <w:autoSpaceDN w:val="0"/>
        <w:adjustRightInd w:val="0"/>
        <w:spacing w:after="0" w:line="240" w:lineRule="auto"/>
      </w:pPr>
      <w:r w:rsidRPr="00C0703B">
        <w:t>New symptoms including fatigue, recurrent infections, unexplained bleeding, weight loss and particularly bone-related pain.</w:t>
      </w:r>
    </w:p>
    <w:p w:rsidR="00DF4D0D" w:rsidRPr="00C0703B" w:rsidRDefault="00DF4D0D" w:rsidP="00DF4D0D">
      <w:pPr>
        <w:pStyle w:val="ListParagraph"/>
        <w:numPr>
          <w:ilvl w:val="0"/>
          <w:numId w:val="23"/>
        </w:numPr>
        <w:autoSpaceDE w:val="0"/>
        <w:autoSpaceDN w:val="0"/>
        <w:adjustRightInd w:val="0"/>
        <w:spacing w:after="0" w:line="240" w:lineRule="auto"/>
      </w:pPr>
      <w:r w:rsidRPr="00C0703B">
        <w:t>The paraprotein level increases by &gt;25% (minimum increase of 5 g/l)</w:t>
      </w:r>
    </w:p>
    <w:p w:rsidR="00DF4D0D" w:rsidRPr="00C0703B" w:rsidRDefault="00DF4D0D" w:rsidP="00DF4D0D">
      <w:pPr>
        <w:pStyle w:val="ListParagraph"/>
        <w:numPr>
          <w:ilvl w:val="0"/>
          <w:numId w:val="23"/>
        </w:numPr>
        <w:autoSpaceDE w:val="0"/>
        <w:autoSpaceDN w:val="0"/>
        <w:adjustRightInd w:val="0"/>
        <w:spacing w:after="0" w:line="240" w:lineRule="auto"/>
      </w:pPr>
      <w:r w:rsidRPr="00C0703B">
        <w:t>The development of abnormal renal function</w:t>
      </w:r>
    </w:p>
    <w:p w:rsidR="00DF4D0D" w:rsidRPr="00C0703B" w:rsidRDefault="00DF4D0D" w:rsidP="00DF4D0D">
      <w:pPr>
        <w:pStyle w:val="ListParagraph"/>
        <w:numPr>
          <w:ilvl w:val="0"/>
          <w:numId w:val="23"/>
        </w:numPr>
        <w:autoSpaceDE w:val="0"/>
        <w:autoSpaceDN w:val="0"/>
        <w:adjustRightInd w:val="0"/>
        <w:spacing w:after="0" w:line="240" w:lineRule="auto"/>
      </w:pPr>
      <w:r w:rsidRPr="00C0703B">
        <w:t>Hypercalcaemia</w:t>
      </w:r>
    </w:p>
    <w:p w:rsidR="00DF4D0D" w:rsidRPr="003E1C72" w:rsidRDefault="00DF4D0D" w:rsidP="00DF4D0D">
      <w:pPr>
        <w:autoSpaceDE w:val="0"/>
        <w:autoSpaceDN w:val="0"/>
        <w:adjustRightInd w:val="0"/>
        <w:spacing w:after="0" w:line="240" w:lineRule="auto"/>
        <w:rPr>
          <w:rFonts w:ascii="Helvetica" w:hAnsi="Helvetica" w:cs="Helvetica"/>
          <w:color w:val="000000"/>
          <w:sz w:val="24"/>
          <w:szCs w:val="24"/>
        </w:rPr>
      </w:pPr>
    </w:p>
    <w:p w:rsidR="00DF4D0D" w:rsidRDefault="00DF4D0D" w:rsidP="00DF4D0D">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References</w:t>
      </w:r>
    </w:p>
    <w:p w:rsidR="00DF4D0D" w:rsidRPr="00C0703B" w:rsidRDefault="00DF4D0D" w:rsidP="00DF4D0D">
      <w:pPr>
        <w:autoSpaceDE w:val="0"/>
        <w:autoSpaceDN w:val="0"/>
        <w:adjustRightInd w:val="0"/>
        <w:spacing w:after="0" w:line="240" w:lineRule="auto"/>
      </w:pPr>
    </w:p>
    <w:p w:rsidR="00DF4D0D" w:rsidRPr="001E7D9E" w:rsidRDefault="00DF4D0D" w:rsidP="001E7D9E">
      <w:pPr>
        <w:pStyle w:val="ListParagraph"/>
        <w:numPr>
          <w:ilvl w:val="0"/>
          <w:numId w:val="26"/>
        </w:numPr>
        <w:autoSpaceDE w:val="0"/>
        <w:autoSpaceDN w:val="0"/>
        <w:adjustRightInd w:val="0"/>
        <w:spacing w:after="0" w:line="240" w:lineRule="auto"/>
        <w:rPr>
          <w:sz w:val="18"/>
          <w:szCs w:val="18"/>
        </w:rPr>
      </w:pPr>
      <w:r w:rsidRPr="001E7D9E">
        <w:rPr>
          <w:sz w:val="18"/>
          <w:szCs w:val="18"/>
        </w:rPr>
        <w:t>UK Myeloma Forum (UKMF) and Nordic Myeloma Study Group (NMSG): guidelines for the investigation of newly detected M-proteins and the management of monoclonal gammopathy of undetermined significance (MGUS). Bird J et al. British Journal of Haematology, 147, 22-42.</w:t>
      </w:r>
    </w:p>
    <w:p w:rsidR="00DF4D0D" w:rsidRDefault="00DF4D0D" w:rsidP="00DF4D0D">
      <w:pPr>
        <w:autoSpaceDE w:val="0"/>
        <w:autoSpaceDN w:val="0"/>
        <w:adjustRightInd w:val="0"/>
        <w:spacing w:after="0" w:line="240" w:lineRule="auto"/>
        <w:rPr>
          <w:rFonts w:ascii="Helvetica-Bold" w:hAnsi="Helvetica-Bold" w:cs="Helvetica-Bold"/>
          <w:b/>
          <w:bCs/>
          <w:color w:val="003300"/>
          <w:sz w:val="24"/>
          <w:szCs w:val="24"/>
        </w:rPr>
      </w:pPr>
    </w:p>
    <w:p w:rsidR="009C0F44" w:rsidRDefault="009C0F44" w:rsidP="00E77DED">
      <w:pPr>
        <w:rPr>
          <w:b/>
          <w:sz w:val="28"/>
          <w:szCs w:val="28"/>
        </w:rPr>
      </w:pPr>
    </w:p>
    <w:p w:rsidR="00E77DED" w:rsidRDefault="00E77DED" w:rsidP="00E77DED">
      <w:pPr>
        <w:spacing w:after="0"/>
      </w:pPr>
    </w:p>
    <w:p w:rsidR="00EA2512" w:rsidRDefault="00EA2512" w:rsidP="00EA2512">
      <w:pPr>
        <w:spacing w:after="0"/>
      </w:pPr>
    </w:p>
    <w:sectPr w:rsidR="00EA2512" w:rsidSect="001E7D9E">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EC" w:rsidRDefault="00337FEC" w:rsidP="006658FF">
      <w:pPr>
        <w:spacing w:after="0" w:line="240" w:lineRule="auto"/>
      </w:pPr>
      <w:r>
        <w:separator/>
      </w:r>
    </w:p>
  </w:endnote>
  <w:endnote w:type="continuationSeparator" w:id="0">
    <w:p w:rsidR="00337FEC" w:rsidRDefault="00337FEC" w:rsidP="0066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9E" w:rsidRPr="001E7D9E" w:rsidRDefault="001E7D9E">
    <w:pPr>
      <w:pStyle w:val="Footer"/>
      <w:rPr>
        <w:sz w:val="18"/>
        <w:szCs w:val="18"/>
      </w:rPr>
    </w:pPr>
    <w:r w:rsidRPr="001E7D9E">
      <w:rPr>
        <w:sz w:val="18"/>
        <w:szCs w:val="18"/>
      </w:rPr>
      <w:t>Guidance on what to do when a paraprotein is found. Author: Noel Ryman. Version 1. Approved on: 01 March 2018. Review date: 01 March 2021</w:t>
    </w:r>
  </w:p>
  <w:p w:rsidR="001E7D9E" w:rsidRDefault="001E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EC" w:rsidRDefault="00337FEC" w:rsidP="006658FF">
      <w:pPr>
        <w:spacing w:after="0" w:line="240" w:lineRule="auto"/>
      </w:pPr>
      <w:r>
        <w:separator/>
      </w:r>
    </w:p>
  </w:footnote>
  <w:footnote w:type="continuationSeparator" w:id="0">
    <w:p w:rsidR="00337FEC" w:rsidRDefault="00337FEC" w:rsidP="00665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3CA"/>
    <w:multiLevelType w:val="hybridMultilevel"/>
    <w:tmpl w:val="29B8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33398"/>
    <w:multiLevelType w:val="hybridMultilevel"/>
    <w:tmpl w:val="698E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2522A"/>
    <w:multiLevelType w:val="hybridMultilevel"/>
    <w:tmpl w:val="96D6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46255"/>
    <w:multiLevelType w:val="hybridMultilevel"/>
    <w:tmpl w:val="647668F0"/>
    <w:lvl w:ilvl="0" w:tplc="EF703D7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7063F93"/>
    <w:multiLevelType w:val="hybridMultilevel"/>
    <w:tmpl w:val="626E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3D3EC0"/>
    <w:multiLevelType w:val="hybridMultilevel"/>
    <w:tmpl w:val="FDA8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824ECA"/>
    <w:multiLevelType w:val="hybridMultilevel"/>
    <w:tmpl w:val="25DA8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15C28"/>
    <w:multiLevelType w:val="hybridMultilevel"/>
    <w:tmpl w:val="2E88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3F5FB6"/>
    <w:multiLevelType w:val="hybridMultilevel"/>
    <w:tmpl w:val="158CE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E360C5"/>
    <w:multiLevelType w:val="hybridMultilevel"/>
    <w:tmpl w:val="C772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9108B5"/>
    <w:multiLevelType w:val="hybridMultilevel"/>
    <w:tmpl w:val="83F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D37F4"/>
    <w:multiLevelType w:val="hybridMultilevel"/>
    <w:tmpl w:val="67F6B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D43609"/>
    <w:multiLevelType w:val="hybridMultilevel"/>
    <w:tmpl w:val="C0F8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BD09A1"/>
    <w:multiLevelType w:val="hybridMultilevel"/>
    <w:tmpl w:val="C1CA0EF2"/>
    <w:lvl w:ilvl="0" w:tplc="9CE48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FFF2BFD"/>
    <w:multiLevelType w:val="hybridMultilevel"/>
    <w:tmpl w:val="103A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B16CAE"/>
    <w:multiLevelType w:val="hybridMultilevel"/>
    <w:tmpl w:val="2954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F91B41"/>
    <w:multiLevelType w:val="hybridMultilevel"/>
    <w:tmpl w:val="5A2A6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BE12BF"/>
    <w:multiLevelType w:val="hybridMultilevel"/>
    <w:tmpl w:val="AAB0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FB665D"/>
    <w:multiLevelType w:val="hybridMultilevel"/>
    <w:tmpl w:val="F43C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4B4512"/>
    <w:multiLevelType w:val="hybridMultilevel"/>
    <w:tmpl w:val="2F0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065A0E"/>
    <w:multiLevelType w:val="hybridMultilevel"/>
    <w:tmpl w:val="3A0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5D6F99"/>
    <w:multiLevelType w:val="hybridMultilevel"/>
    <w:tmpl w:val="196C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663250"/>
    <w:multiLevelType w:val="hybridMultilevel"/>
    <w:tmpl w:val="41BC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E01137"/>
    <w:multiLevelType w:val="hybridMultilevel"/>
    <w:tmpl w:val="3C70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AF16BD"/>
    <w:multiLevelType w:val="hybridMultilevel"/>
    <w:tmpl w:val="0436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982DD5"/>
    <w:multiLevelType w:val="hybridMultilevel"/>
    <w:tmpl w:val="DDE0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16"/>
  </w:num>
  <w:num w:numId="5">
    <w:abstractNumId w:val="3"/>
  </w:num>
  <w:num w:numId="6">
    <w:abstractNumId w:val="12"/>
  </w:num>
  <w:num w:numId="7">
    <w:abstractNumId w:val="13"/>
  </w:num>
  <w:num w:numId="8">
    <w:abstractNumId w:val="4"/>
  </w:num>
  <w:num w:numId="9">
    <w:abstractNumId w:val="15"/>
  </w:num>
  <w:num w:numId="10">
    <w:abstractNumId w:val="10"/>
  </w:num>
  <w:num w:numId="11">
    <w:abstractNumId w:val="20"/>
  </w:num>
  <w:num w:numId="12">
    <w:abstractNumId w:val="22"/>
  </w:num>
  <w:num w:numId="13">
    <w:abstractNumId w:val="21"/>
  </w:num>
  <w:num w:numId="14">
    <w:abstractNumId w:val="2"/>
  </w:num>
  <w:num w:numId="15">
    <w:abstractNumId w:val="19"/>
  </w:num>
  <w:num w:numId="16">
    <w:abstractNumId w:val="7"/>
  </w:num>
  <w:num w:numId="17">
    <w:abstractNumId w:val="8"/>
  </w:num>
  <w:num w:numId="18">
    <w:abstractNumId w:val="17"/>
  </w:num>
  <w:num w:numId="19">
    <w:abstractNumId w:val="1"/>
  </w:num>
  <w:num w:numId="20">
    <w:abstractNumId w:val="25"/>
  </w:num>
  <w:num w:numId="21">
    <w:abstractNumId w:val="0"/>
  </w:num>
  <w:num w:numId="22">
    <w:abstractNumId w:val="24"/>
  </w:num>
  <w:num w:numId="23">
    <w:abstractNumId w:val="18"/>
  </w:num>
  <w:num w:numId="24">
    <w:abstractNumId w:val="5"/>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27"/>
    <w:rsid w:val="0004394B"/>
    <w:rsid w:val="000B6971"/>
    <w:rsid w:val="00131E61"/>
    <w:rsid w:val="0013678F"/>
    <w:rsid w:val="00163A1B"/>
    <w:rsid w:val="001A5BAE"/>
    <w:rsid w:val="001E7D9E"/>
    <w:rsid w:val="002A2514"/>
    <w:rsid w:val="00336654"/>
    <w:rsid w:val="00337FEC"/>
    <w:rsid w:val="003531DC"/>
    <w:rsid w:val="00385911"/>
    <w:rsid w:val="003C01EF"/>
    <w:rsid w:val="003F67A5"/>
    <w:rsid w:val="00434884"/>
    <w:rsid w:val="00445EDF"/>
    <w:rsid w:val="004757A9"/>
    <w:rsid w:val="004D69DE"/>
    <w:rsid w:val="00523785"/>
    <w:rsid w:val="0053345F"/>
    <w:rsid w:val="00553515"/>
    <w:rsid w:val="005910D6"/>
    <w:rsid w:val="005D342C"/>
    <w:rsid w:val="006008EA"/>
    <w:rsid w:val="00607D7F"/>
    <w:rsid w:val="006658FF"/>
    <w:rsid w:val="0066672C"/>
    <w:rsid w:val="006E4CF4"/>
    <w:rsid w:val="006E68F1"/>
    <w:rsid w:val="006E6DF5"/>
    <w:rsid w:val="00716348"/>
    <w:rsid w:val="00751CD8"/>
    <w:rsid w:val="007852CF"/>
    <w:rsid w:val="007B666A"/>
    <w:rsid w:val="007D36B5"/>
    <w:rsid w:val="007E19C0"/>
    <w:rsid w:val="00801D60"/>
    <w:rsid w:val="00832185"/>
    <w:rsid w:val="008504C7"/>
    <w:rsid w:val="00864BD3"/>
    <w:rsid w:val="0087642E"/>
    <w:rsid w:val="00896CA2"/>
    <w:rsid w:val="00937D96"/>
    <w:rsid w:val="009C0F44"/>
    <w:rsid w:val="00A00C8E"/>
    <w:rsid w:val="00A05727"/>
    <w:rsid w:val="00A222AA"/>
    <w:rsid w:val="00A40D92"/>
    <w:rsid w:val="00A6021A"/>
    <w:rsid w:val="00A95F47"/>
    <w:rsid w:val="00AC2D9A"/>
    <w:rsid w:val="00AF0697"/>
    <w:rsid w:val="00B22A75"/>
    <w:rsid w:val="00C0703B"/>
    <w:rsid w:val="00C676B2"/>
    <w:rsid w:val="00CA295B"/>
    <w:rsid w:val="00CD74F2"/>
    <w:rsid w:val="00D00AA1"/>
    <w:rsid w:val="00D0595B"/>
    <w:rsid w:val="00D63FD1"/>
    <w:rsid w:val="00DF4D0D"/>
    <w:rsid w:val="00DF5D0A"/>
    <w:rsid w:val="00E56F53"/>
    <w:rsid w:val="00E77DED"/>
    <w:rsid w:val="00E97AE3"/>
    <w:rsid w:val="00EA2512"/>
    <w:rsid w:val="00F407B7"/>
    <w:rsid w:val="00F743CE"/>
    <w:rsid w:val="00F82594"/>
    <w:rsid w:val="00FB5312"/>
    <w:rsid w:val="00FB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27"/>
    <w:rPr>
      <w:rFonts w:ascii="Tahoma" w:hAnsi="Tahoma" w:cs="Tahoma"/>
      <w:sz w:val="16"/>
      <w:szCs w:val="16"/>
    </w:rPr>
  </w:style>
  <w:style w:type="paragraph" w:styleId="ListParagraph">
    <w:name w:val="List Paragraph"/>
    <w:basedOn w:val="Normal"/>
    <w:uiPriority w:val="99"/>
    <w:qFormat/>
    <w:rsid w:val="00716348"/>
    <w:pPr>
      <w:ind w:left="720"/>
      <w:contextualSpacing/>
    </w:pPr>
  </w:style>
  <w:style w:type="table" w:styleId="TableGrid">
    <w:name w:val="Table Grid"/>
    <w:basedOn w:val="TableNormal"/>
    <w:uiPriority w:val="59"/>
    <w:rsid w:val="0052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FF"/>
  </w:style>
  <w:style w:type="paragraph" w:styleId="Footer">
    <w:name w:val="footer"/>
    <w:basedOn w:val="Normal"/>
    <w:link w:val="FooterChar"/>
    <w:uiPriority w:val="99"/>
    <w:unhideWhenUsed/>
    <w:rsid w:val="0066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27"/>
    <w:rPr>
      <w:rFonts w:ascii="Tahoma" w:hAnsi="Tahoma" w:cs="Tahoma"/>
      <w:sz w:val="16"/>
      <w:szCs w:val="16"/>
    </w:rPr>
  </w:style>
  <w:style w:type="paragraph" w:styleId="ListParagraph">
    <w:name w:val="List Paragraph"/>
    <w:basedOn w:val="Normal"/>
    <w:uiPriority w:val="99"/>
    <w:qFormat/>
    <w:rsid w:val="00716348"/>
    <w:pPr>
      <w:ind w:left="720"/>
      <w:contextualSpacing/>
    </w:pPr>
  </w:style>
  <w:style w:type="table" w:styleId="TableGrid">
    <w:name w:val="Table Grid"/>
    <w:basedOn w:val="TableNormal"/>
    <w:uiPriority w:val="59"/>
    <w:rsid w:val="0052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FF"/>
  </w:style>
  <w:style w:type="paragraph" w:styleId="Footer">
    <w:name w:val="footer"/>
    <w:basedOn w:val="Normal"/>
    <w:link w:val="FooterChar"/>
    <w:uiPriority w:val="99"/>
    <w:unhideWhenUsed/>
    <w:rsid w:val="0066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C015-5FA6-4042-AC27-95D2DE18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HHFT</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Roger</dc:creator>
  <cp:lastModifiedBy>user</cp:lastModifiedBy>
  <cp:revision>3</cp:revision>
  <dcterms:created xsi:type="dcterms:W3CDTF">2018-02-28T09:22:00Z</dcterms:created>
  <dcterms:modified xsi:type="dcterms:W3CDTF">2018-04-17T09:15:00Z</dcterms:modified>
</cp:coreProperties>
</file>