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A5" w:rsidRDefault="00A05727" w:rsidP="003F67A5">
      <w:pPr>
        <w:ind w:left="3600" w:firstLine="720"/>
        <w:jc w:val="center"/>
        <w:rPr>
          <w:u w:val="single"/>
        </w:rPr>
      </w:pPr>
      <w:r>
        <w:rPr>
          <w:b/>
          <w:noProof/>
          <w:sz w:val="40"/>
          <w:lang w:eastAsia="en-GB"/>
        </w:rPr>
        <w:drawing>
          <wp:inline distT="0" distB="0" distL="0" distR="0" wp14:anchorId="37B53997" wp14:editId="3E6F3683">
            <wp:extent cx="2990850" cy="476250"/>
            <wp:effectExtent l="0" t="0" r="0" b="0"/>
            <wp:docPr id="1"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937D96" w:rsidRPr="003F67A5" w:rsidRDefault="00EA2512" w:rsidP="003F67A5">
      <w:pPr>
        <w:jc w:val="center"/>
        <w:rPr>
          <w:b/>
          <w:sz w:val="36"/>
          <w:szCs w:val="36"/>
        </w:rPr>
      </w:pPr>
      <w:r>
        <w:rPr>
          <w:b/>
          <w:sz w:val="36"/>
          <w:szCs w:val="36"/>
        </w:rPr>
        <w:t>Lympho</w:t>
      </w:r>
      <w:r w:rsidR="00F407B7">
        <w:rPr>
          <w:b/>
          <w:sz w:val="36"/>
          <w:szCs w:val="36"/>
        </w:rPr>
        <w:t>penia</w:t>
      </w:r>
    </w:p>
    <w:p w:rsidR="00EA2512" w:rsidRDefault="00EA2512" w:rsidP="00EA2512">
      <w:pPr>
        <w:rPr>
          <w:b/>
          <w:sz w:val="28"/>
          <w:szCs w:val="28"/>
        </w:rPr>
      </w:pPr>
      <w:r w:rsidRPr="003F67A5">
        <w:rPr>
          <w:b/>
          <w:sz w:val="28"/>
          <w:szCs w:val="28"/>
        </w:rPr>
        <w:t>Presentation</w:t>
      </w:r>
    </w:p>
    <w:p w:rsidR="00251355" w:rsidRDefault="00EA2512" w:rsidP="00251355">
      <w:pPr>
        <w:rPr>
          <w:rFonts w:ascii="Calibri" w:eastAsia="Calibri" w:hAnsi="Calibri" w:cs="Times New Roman"/>
          <w:u w:val="single"/>
        </w:rPr>
      </w:pPr>
      <w:r w:rsidRPr="00F407B7">
        <w:rPr>
          <w:rFonts w:ascii="Calibri" w:eastAsia="Calibri" w:hAnsi="Calibri" w:cs="Times New Roman"/>
          <w:u w:val="single"/>
        </w:rPr>
        <w:t>Definition</w:t>
      </w:r>
    </w:p>
    <w:p w:rsidR="00EA2512" w:rsidRPr="00251355" w:rsidRDefault="00EA2512" w:rsidP="00251355">
      <w:pPr>
        <w:rPr>
          <w:rFonts w:ascii="Calibri" w:eastAsia="Calibri" w:hAnsi="Calibri" w:cs="Times New Roman"/>
          <w:u w:val="single"/>
        </w:rPr>
      </w:pPr>
      <w:r>
        <w:t>Lymphocyte count &lt; 1.5 x 10</w:t>
      </w:r>
      <w:r w:rsidRPr="004C506D">
        <w:rPr>
          <w:vertAlign w:val="superscript"/>
        </w:rPr>
        <w:t>9</w:t>
      </w:r>
      <w:r>
        <w:t>/L</w:t>
      </w:r>
    </w:p>
    <w:p w:rsidR="00E77DED" w:rsidRDefault="00EA2512" w:rsidP="00E77DED">
      <w:pPr>
        <w:pStyle w:val="ListParagraph"/>
        <w:numPr>
          <w:ilvl w:val="0"/>
          <w:numId w:val="20"/>
        </w:numPr>
        <w:spacing w:after="0"/>
      </w:pPr>
      <w:r>
        <w:t>Mild lymphopenia: 1-1.5 x 10</w:t>
      </w:r>
      <w:r w:rsidRPr="00E77DED">
        <w:rPr>
          <w:vertAlign w:val="superscript"/>
        </w:rPr>
        <w:t>9</w:t>
      </w:r>
      <w:r>
        <w:t>/L</w:t>
      </w:r>
    </w:p>
    <w:p w:rsidR="00E77DED" w:rsidRDefault="00EA2512" w:rsidP="00E77DED">
      <w:pPr>
        <w:pStyle w:val="ListParagraph"/>
        <w:numPr>
          <w:ilvl w:val="0"/>
          <w:numId w:val="20"/>
        </w:numPr>
        <w:spacing w:after="0"/>
      </w:pPr>
      <w:r>
        <w:t>Moderate lymphopenia: 0.5-1 x 10</w:t>
      </w:r>
      <w:r w:rsidRPr="00E77DED">
        <w:rPr>
          <w:vertAlign w:val="superscript"/>
        </w:rPr>
        <w:t>9</w:t>
      </w:r>
      <w:r>
        <w:t>/L</w:t>
      </w:r>
    </w:p>
    <w:p w:rsidR="00EA2512" w:rsidRDefault="00EA2512" w:rsidP="00E77DED">
      <w:pPr>
        <w:pStyle w:val="ListParagraph"/>
        <w:numPr>
          <w:ilvl w:val="0"/>
          <w:numId w:val="20"/>
        </w:numPr>
        <w:spacing w:after="0"/>
      </w:pPr>
      <w:r>
        <w:t>Severe lymphopenia &lt; 0.5 x 10</w:t>
      </w:r>
      <w:r w:rsidRPr="00E77DED">
        <w:rPr>
          <w:vertAlign w:val="superscript"/>
        </w:rPr>
        <w:t>9</w:t>
      </w:r>
      <w:r>
        <w:t xml:space="preserve">/L may predispose to opportunistic infections such as pneumocystis pneumonia, oesophageal candidiasis, herpes zoster and systemic cytomegalovirus infection.  </w:t>
      </w:r>
    </w:p>
    <w:p w:rsidR="00EA2512" w:rsidRDefault="00EA2512" w:rsidP="00EA2512">
      <w:pPr>
        <w:spacing w:after="0"/>
        <w:ind w:left="720"/>
      </w:pPr>
    </w:p>
    <w:p w:rsidR="00EA2512" w:rsidRPr="003F67A5" w:rsidRDefault="00EA2512" w:rsidP="00EA2512">
      <w:pPr>
        <w:rPr>
          <w:b/>
          <w:sz w:val="28"/>
          <w:szCs w:val="28"/>
        </w:rPr>
      </w:pPr>
      <w:r w:rsidRPr="003F67A5">
        <w:rPr>
          <w:b/>
          <w:sz w:val="28"/>
          <w:szCs w:val="28"/>
        </w:rPr>
        <w:t>Clinical Findings</w:t>
      </w:r>
    </w:p>
    <w:p w:rsidR="00EA2512" w:rsidRDefault="00EA2512" w:rsidP="00EA2512">
      <w:pPr>
        <w:pStyle w:val="ListParagraph"/>
        <w:numPr>
          <w:ilvl w:val="0"/>
          <w:numId w:val="19"/>
        </w:numPr>
      </w:pPr>
      <w:r>
        <w:t>Lymphopenia is a common non specific finding which increases in frequency with increasing age and comorbidities. It is often of no pathological significance. In many cases the lymphopenia is transient and most cases do not require specialist input.</w:t>
      </w:r>
    </w:p>
    <w:p w:rsidR="00EA2512" w:rsidRDefault="00EA2512" w:rsidP="00EA2512">
      <w:pPr>
        <w:pStyle w:val="ListParagraph"/>
        <w:numPr>
          <w:ilvl w:val="0"/>
          <w:numId w:val="19"/>
        </w:numPr>
      </w:pPr>
      <w:r>
        <w:t>HIV infection is commonly associated with lymphopenia and is an important diagnosis to exclude in patients with chronic moderate to severe lymphopenia.</w:t>
      </w:r>
    </w:p>
    <w:p w:rsidR="00EA2512" w:rsidRDefault="00EA2512" w:rsidP="00EA2512">
      <w:pPr>
        <w:pStyle w:val="ListParagraph"/>
        <w:numPr>
          <w:ilvl w:val="0"/>
          <w:numId w:val="19"/>
        </w:numPr>
      </w:pPr>
      <w:r>
        <w:t>Lymphopenia is a rare association wi</w:t>
      </w:r>
      <w:r w:rsidR="00251355">
        <w:t>th haematological conditions but</w:t>
      </w:r>
      <w:r>
        <w:t xml:space="preserve"> can be observed in lymphoproliferative disorders. It is a common finding post chemotherapy and radiotherapy.</w:t>
      </w:r>
    </w:p>
    <w:p w:rsidR="008504C7" w:rsidRPr="008504C7" w:rsidRDefault="008504C7" w:rsidP="008504C7">
      <w:pPr>
        <w:rPr>
          <w:b/>
          <w:sz w:val="28"/>
          <w:szCs w:val="28"/>
        </w:rPr>
      </w:pPr>
      <w:r w:rsidRPr="008504C7">
        <w:rPr>
          <w:b/>
          <w:sz w:val="28"/>
          <w:szCs w:val="28"/>
        </w:rPr>
        <w:t>Causes</w:t>
      </w:r>
    </w:p>
    <w:tbl>
      <w:tblPr>
        <w:tblStyle w:val="TableGrid"/>
        <w:tblW w:w="0" w:type="auto"/>
        <w:tblInd w:w="720" w:type="dxa"/>
        <w:tblLook w:val="04A0" w:firstRow="1" w:lastRow="0" w:firstColumn="1" w:lastColumn="0" w:noHBand="0" w:noVBand="1"/>
      </w:tblPr>
      <w:tblGrid>
        <w:gridCol w:w="2365"/>
        <w:gridCol w:w="6157"/>
      </w:tblGrid>
      <w:tr w:rsidR="008504C7" w:rsidTr="00E77DED">
        <w:tc>
          <w:tcPr>
            <w:tcW w:w="2365" w:type="dxa"/>
          </w:tcPr>
          <w:p w:rsidR="008504C7" w:rsidRDefault="008504C7" w:rsidP="008504C7">
            <w:pPr>
              <w:pStyle w:val="ListParagraph"/>
              <w:ind w:left="0"/>
              <w:rPr>
                <w:rFonts w:ascii="Calibri" w:eastAsia="Calibri" w:hAnsi="Calibri" w:cs="Times New Roman"/>
              </w:rPr>
            </w:pPr>
            <w:r>
              <w:rPr>
                <w:rFonts w:ascii="Calibri" w:eastAsia="Calibri" w:hAnsi="Calibri" w:cs="Times New Roman"/>
              </w:rPr>
              <w:t>Infection</w:t>
            </w:r>
          </w:p>
        </w:tc>
        <w:tc>
          <w:tcPr>
            <w:tcW w:w="6157" w:type="dxa"/>
          </w:tcPr>
          <w:p w:rsidR="008504C7" w:rsidRPr="00E77DED" w:rsidRDefault="008504C7" w:rsidP="00E77DED">
            <w:pPr>
              <w:rPr>
                <w:rFonts w:ascii="Calibri" w:eastAsia="Calibri" w:hAnsi="Calibri" w:cs="Times New Roman"/>
              </w:rPr>
            </w:pPr>
            <w:r w:rsidRPr="00E77DED">
              <w:rPr>
                <w:rFonts w:ascii="Calibri" w:eastAsia="Calibri" w:hAnsi="Calibri" w:cs="Times New Roman"/>
              </w:rPr>
              <w:t>Acute bacterial/ viral/ fungal</w:t>
            </w:r>
          </w:p>
          <w:p w:rsidR="008504C7" w:rsidRDefault="008504C7" w:rsidP="00E77DED">
            <w:pPr>
              <w:pStyle w:val="ListParagraph"/>
              <w:ind w:left="0"/>
              <w:rPr>
                <w:rFonts w:ascii="Calibri" w:eastAsia="Calibri" w:hAnsi="Calibri" w:cs="Times New Roman"/>
              </w:rPr>
            </w:pPr>
            <w:r w:rsidRPr="008504C7">
              <w:rPr>
                <w:rFonts w:ascii="Calibri" w:eastAsia="Calibri" w:hAnsi="Calibri" w:cs="Times New Roman"/>
              </w:rPr>
              <w:t xml:space="preserve">Chronic: </w:t>
            </w:r>
            <w:r w:rsidRPr="00E77DED">
              <w:rPr>
                <w:rFonts w:ascii="Calibri" w:eastAsia="Calibri" w:hAnsi="Calibri" w:cs="Times New Roman"/>
                <w:b/>
              </w:rPr>
              <w:t>HIV</w:t>
            </w:r>
            <w:r w:rsidRPr="008504C7">
              <w:rPr>
                <w:rFonts w:ascii="Calibri" w:eastAsia="Calibri" w:hAnsi="Calibri" w:cs="Times New Roman"/>
              </w:rPr>
              <w:t>, Hepatitis B/C</w:t>
            </w:r>
          </w:p>
        </w:tc>
      </w:tr>
      <w:tr w:rsidR="008504C7" w:rsidTr="00E77DED">
        <w:tc>
          <w:tcPr>
            <w:tcW w:w="2365" w:type="dxa"/>
          </w:tcPr>
          <w:p w:rsidR="008504C7" w:rsidRDefault="00E77DED" w:rsidP="008504C7">
            <w:pPr>
              <w:pStyle w:val="ListParagraph"/>
              <w:ind w:left="0"/>
              <w:rPr>
                <w:rFonts w:ascii="Calibri" w:eastAsia="Calibri" w:hAnsi="Calibri" w:cs="Times New Roman"/>
              </w:rPr>
            </w:pPr>
            <w:r>
              <w:rPr>
                <w:rFonts w:ascii="Calibri" w:eastAsia="Calibri" w:hAnsi="Calibri" w:cs="Times New Roman"/>
              </w:rPr>
              <w:t>Medication</w:t>
            </w:r>
          </w:p>
        </w:tc>
        <w:tc>
          <w:tcPr>
            <w:tcW w:w="6157" w:type="dxa"/>
          </w:tcPr>
          <w:p w:rsidR="00E77DED" w:rsidRDefault="00E77DED" w:rsidP="00E77DED">
            <w:r>
              <w:t>Steroid usage</w:t>
            </w:r>
          </w:p>
          <w:p w:rsidR="00E77DED" w:rsidRDefault="00E77DED" w:rsidP="00E77DED">
            <w:r>
              <w:t>Immunosuppressive medications</w:t>
            </w:r>
          </w:p>
          <w:p w:rsidR="00E77DED" w:rsidRDefault="00E77DED" w:rsidP="00E77DED">
            <w:r>
              <w:t>Chemotherapy</w:t>
            </w:r>
          </w:p>
          <w:p w:rsidR="008504C7" w:rsidRPr="00E77DED" w:rsidRDefault="00E77DED" w:rsidP="00E77DED">
            <w:r>
              <w:t>Monoclonal antibody therapy</w:t>
            </w:r>
          </w:p>
        </w:tc>
      </w:tr>
      <w:tr w:rsidR="008504C7" w:rsidTr="00E77DED">
        <w:tc>
          <w:tcPr>
            <w:tcW w:w="2365" w:type="dxa"/>
          </w:tcPr>
          <w:p w:rsidR="008504C7" w:rsidRDefault="00E77DED" w:rsidP="008504C7">
            <w:pPr>
              <w:pStyle w:val="ListParagraph"/>
              <w:ind w:left="0"/>
              <w:rPr>
                <w:rFonts w:ascii="Calibri" w:eastAsia="Calibri" w:hAnsi="Calibri" w:cs="Times New Roman"/>
              </w:rPr>
            </w:pPr>
            <w:r w:rsidRPr="00E77DED">
              <w:rPr>
                <w:rFonts w:ascii="Calibri" w:eastAsia="Calibri" w:hAnsi="Calibri" w:cs="Times New Roman"/>
              </w:rPr>
              <w:t>Systemic disorders</w:t>
            </w:r>
          </w:p>
        </w:tc>
        <w:tc>
          <w:tcPr>
            <w:tcW w:w="6157" w:type="dxa"/>
          </w:tcPr>
          <w:p w:rsidR="00E77DED" w:rsidRPr="00E77DED" w:rsidRDefault="00E77DED" w:rsidP="00E77DED">
            <w:pPr>
              <w:rPr>
                <w:rFonts w:ascii="Calibri" w:eastAsia="Calibri" w:hAnsi="Calibri" w:cs="Times New Roman"/>
              </w:rPr>
            </w:pPr>
            <w:r w:rsidRPr="00E77DED">
              <w:rPr>
                <w:rFonts w:ascii="Calibri" w:eastAsia="Calibri" w:hAnsi="Calibri" w:cs="Times New Roman"/>
              </w:rPr>
              <w:t>Auto-immune disease</w:t>
            </w:r>
          </w:p>
          <w:p w:rsidR="00E77DED" w:rsidRPr="00E77DED" w:rsidRDefault="00E77DED" w:rsidP="00E77DED">
            <w:pPr>
              <w:rPr>
                <w:rFonts w:ascii="Calibri" w:eastAsia="Calibri" w:hAnsi="Calibri" w:cs="Times New Roman"/>
              </w:rPr>
            </w:pPr>
            <w:r w:rsidRPr="00E77DED">
              <w:rPr>
                <w:rFonts w:ascii="Calibri" w:eastAsia="Calibri" w:hAnsi="Calibri" w:cs="Times New Roman"/>
              </w:rPr>
              <w:t>Inflammatory bowel disease</w:t>
            </w:r>
          </w:p>
          <w:p w:rsidR="00E77DED" w:rsidRPr="00E77DED" w:rsidRDefault="00E77DED" w:rsidP="00E77DED">
            <w:pPr>
              <w:rPr>
                <w:rFonts w:ascii="Calibri" w:eastAsia="Calibri" w:hAnsi="Calibri" w:cs="Times New Roman"/>
              </w:rPr>
            </w:pPr>
            <w:r w:rsidRPr="00E77DED">
              <w:rPr>
                <w:rFonts w:ascii="Calibri" w:eastAsia="Calibri" w:hAnsi="Calibri" w:cs="Times New Roman"/>
              </w:rPr>
              <w:t>Renal failure</w:t>
            </w:r>
          </w:p>
          <w:p w:rsidR="008504C7" w:rsidRDefault="00E77DED" w:rsidP="00E77DED">
            <w:pPr>
              <w:pStyle w:val="ListParagraph"/>
              <w:ind w:left="0"/>
              <w:rPr>
                <w:rFonts w:ascii="Calibri" w:eastAsia="Calibri" w:hAnsi="Calibri" w:cs="Times New Roman"/>
              </w:rPr>
            </w:pPr>
            <w:r w:rsidRPr="00E77DED">
              <w:rPr>
                <w:rFonts w:ascii="Calibri" w:eastAsia="Calibri" w:hAnsi="Calibri" w:cs="Times New Roman"/>
              </w:rPr>
              <w:t>Sarcoidosis</w:t>
            </w:r>
          </w:p>
        </w:tc>
      </w:tr>
      <w:tr w:rsidR="008504C7" w:rsidTr="00E77DED">
        <w:tc>
          <w:tcPr>
            <w:tcW w:w="2365" w:type="dxa"/>
          </w:tcPr>
          <w:p w:rsidR="008504C7" w:rsidRDefault="00E77DED" w:rsidP="008504C7">
            <w:pPr>
              <w:pStyle w:val="ListParagraph"/>
              <w:ind w:left="0"/>
              <w:rPr>
                <w:rFonts w:ascii="Calibri" w:eastAsia="Calibri" w:hAnsi="Calibri" w:cs="Times New Roman"/>
              </w:rPr>
            </w:pPr>
            <w:r>
              <w:rPr>
                <w:rFonts w:ascii="Calibri" w:eastAsia="Calibri" w:hAnsi="Calibri" w:cs="Times New Roman"/>
              </w:rPr>
              <w:t>Malignancy</w:t>
            </w:r>
          </w:p>
        </w:tc>
        <w:tc>
          <w:tcPr>
            <w:tcW w:w="6157" w:type="dxa"/>
          </w:tcPr>
          <w:p w:rsidR="008504C7" w:rsidRDefault="00E77DED" w:rsidP="00E77DED">
            <w:pPr>
              <w:rPr>
                <w:rFonts w:ascii="Calibri" w:eastAsia="Calibri" w:hAnsi="Calibri" w:cs="Times New Roman"/>
              </w:rPr>
            </w:pPr>
            <w:r w:rsidRPr="00E77DED">
              <w:rPr>
                <w:rFonts w:ascii="Calibri" w:eastAsia="Calibri" w:hAnsi="Calibri" w:cs="Times New Roman"/>
              </w:rPr>
              <w:t>Lymphoproliferative disorders</w:t>
            </w:r>
            <w:r>
              <w:rPr>
                <w:rFonts w:ascii="Calibri" w:eastAsia="Calibri" w:hAnsi="Calibri" w:cs="Times New Roman"/>
              </w:rPr>
              <w:t xml:space="preserve">. </w:t>
            </w:r>
            <w:r w:rsidRPr="00E77DED">
              <w:rPr>
                <w:rFonts w:ascii="Calibri" w:eastAsia="Calibri" w:hAnsi="Calibri" w:cs="Times New Roman"/>
              </w:rPr>
              <w:t>Solid organ malignancies</w:t>
            </w:r>
            <w:r>
              <w:rPr>
                <w:rFonts w:ascii="Calibri" w:eastAsia="Calibri" w:hAnsi="Calibri" w:cs="Times New Roman"/>
              </w:rPr>
              <w:t>.</w:t>
            </w:r>
          </w:p>
        </w:tc>
      </w:tr>
      <w:tr w:rsidR="008504C7" w:rsidTr="00E77DED">
        <w:tc>
          <w:tcPr>
            <w:tcW w:w="2365" w:type="dxa"/>
          </w:tcPr>
          <w:p w:rsidR="008504C7" w:rsidRDefault="00E77DED" w:rsidP="008504C7">
            <w:pPr>
              <w:pStyle w:val="ListParagraph"/>
              <w:ind w:left="0"/>
              <w:rPr>
                <w:rFonts w:ascii="Calibri" w:eastAsia="Calibri" w:hAnsi="Calibri" w:cs="Times New Roman"/>
              </w:rPr>
            </w:pPr>
            <w:r>
              <w:rPr>
                <w:rFonts w:ascii="Calibri" w:eastAsia="Calibri" w:hAnsi="Calibri" w:cs="Times New Roman"/>
              </w:rPr>
              <w:t>Others</w:t>
            </w:r>
          </w:p>
        </w:tc>
        <w:tc>
          <w:tcPr>
            <w:tcW w:w="6157" w:type="dxa"/>
          </w:tcPr>
          <w:p w:rsidR="008504C7" w:rsidRDefault="00E77DED" w:rsidP="00E77DED">
            <w:pPr>
              <w:rPr>
                <w:rFonts w:ascii="Calibri" w:eastAsia="Calibri" w:hAnsi="Calibri" w:cs="Times New Roman"/>
              </w:rPr>
            </w:pPr>
            <w:r w:rsidRPr="00E77DED">
              <w:rPr>
                <w:rFonts w:ascii="Calibri" w:eastAsia="Calibri" w:hAnsi="Calibri" w:cs="Times New Roman"/>
              </w:rPr>
              <w:t>Exercise</w:t>
            </w:r>
            <w:r>
              <w:rPr>
                <w:rFonts w:ascii="Calibri" w:eastAsia="Calibri" w:hAnsi="Calibri" w:cs="Times New Roman"/>
              </w:rPr>
              <w:t xml:space="preserve">, </w:t>
            </w:r>
            <w:r w:rsidRPr="00E77DED">
              <w:rPr>
                <w:rFonts w:ascii="Calibri" w:eastAsia="Calibri" w:hAnsi="Calibri" w:cs="Times New Roman"/>
              </w:rPr>
              <w:t>Malnutrition</w:t>
            </w:r>
            <w:r>
              <w:rPr>
                <w:rFonts w:ascii="Calibri" w:eastAsia="Calibri" w:hAnsi="Calibri" w:cs="Times New Roman"/>
              </w:rPr>
              <w:t xml:space="preserve">, </w:t>
            </w:r>
            <w:r w:rsidRPr="00E77DED">
              <w:rPr>
                <w:rFonts w:ascii="Calibri" w:eastAsia="Calibri" w:hAnsi="Calibri" w:cs="Times New Roman"/>
              </w:rPr>
              <w:t>Alcohol abuse</w:t>
            </w:r>
            <w:r>
              <w:rPr>
                <w:rFonts w:ascii="Calibri" w:eastAsia="Calibri" w:hAnsi="Calibri" w:cs="Times New Roman"/>
              </w:rPr>
              <w:t xml:space="preserve">, </w:t>
            </w:r>
            <w:r w:rsidRPr="00E77DED">
              <w:rPr>
                <w:rFonts w:ascii="Calibri" w:eastAsia="Calibri" w:hAnsi="Calibri" w:cs="Times New Roman"/>
              </w:rPr>
              <w:t>Radiotherapy</w:t>
            </w:r>
            <w:r>
              <w:rPr>
                <w:rFonts w:ascii="Calibri" w:eastAsia="Calibri" w:hAnsi="Calibri" w:cs="Times New Roman"/>
              </w:rPr>
              <w:t xml:space="preserve">, </w:t>
            </w:r>
            <w:r w:rsidRPr="00E77DED">
              <w:rPr>
                <w:rFonts w:ascii="Calibri" w:eastAsia="Calibri" w:hAnsi="Calibri" w:cs="Times New Roman"/>
              </w:rPr>
              <w:t>Recent surgery</w:t>
            </w:r>
            <w:r>
              <w:rPr>
                <w:rFonts w:ascii="Calibri" w:eastAsia="Calibri" w:hAnsi="Calibri" w:cs="Times New Roman"/>
              </w:rPr>
              <w:t xml:space="preserve">, </w:t>
            </w:r>
            <w:r w:rsidRPr="00E77DED">
              <w:rPr>
                <w:rFonts w:ascii="Calibri" w:eastAsia="Calibri" w:hAnsi="Calibri" w:cs="Times New Roman"/>
              </w:rPr>
              <w:t>Stress</w:t>
            </w:r>
          </w:p>
        </w:tc>
      </w:tr>
      <w:tr w:rsidR="008504C7" w:rsidTr="00E77DED">
        <w:tc>
          <w:tcPr>
            <w:tcW w:w="2365" w:type="dxa"/>
          </w:tcPr>
          <w:p w:rsidR="008504C7" w:rsidRDefault="00251355" w:rsidP="00E77DED">
            <w:pPr>
              <w:pStyle w:val="ListParagraph"/>
              <w:ind w:left="0"/>
              <w:rPr>
                <w:rFonts w:ascii="Calibri" w:eastAsia="Calibri" w:hAnsi="Calibri" w:cs="Times New Roman"/>
              </w:rPr>
            </w:pPr>
            <w:r>
              <w:rPr>
                <w:rFonts w:ascii="Calibri" w:eastAsia="Calibri" w:hAnsi="Calibri" w:cs="Times New Roman"/>
              </w:rPr>
              <w:t>Congenital immune disorders (</w:t>
            </w:r>
            <w:r w:rsidR="00E77DED">
              <w:rPr>
                <w:rFonts w:ascii="Calibri" w:eastAsia="Calibri" w:hAnsi="Calibri" w:cs="Times New Roman"/>
              </w:rPr>
              <w:t>rare</w:t>
            </w:r>
            <w:r>
              <w:rPr>
                <w:rFonts w:ascii="Calibri" w:eastAsia="Calibri" w:hAnsi="Calibri" w:cs="Times New Roman"/>
              </w:rPr>
              <w:t>)</w:t>
            </w:r>
          </w:p>
        </w:tc>
        <w:tc>
          <w:tcPr>
            <w:tcW w:w="6157" w:type="dxa"/>
          </w:tcPr>
          <w:p w:rsidR="008504C7" w:rsidRDefault="00E77DED" w:rsidP="00E77DED">
            <w:pPr>
              <w:pStyle w:val="ListParagraph"/>
              <w:ind w:left="0"/>
              <w:rPr>
                <w:rFonts w:ascii="Calibri" w:eastAsia="Calibri" w:hAnsi="Calibri" w:cs="Times New Roman"/>
              </w:rPr>
            </w:pPr>
            <w:r>
              <w:rPr>
                <w:rFonts w:ascii="Calibri" w:eastAsia="Calibri" w:hAnsi="Calibri" w:cs="Times New Roman"/>
              </w:rPr>
              <w:t>R</w:t>
            </w:r>
            <w:r w:rsidR="008504C7" w:rsidRPr="008504C7">
              <w:rPr>
                <w:rFonts w:ascii="Calibri" w:eastAsia="Calibri" w:hAnsi="Calibri" w:cs="Times New Roman"/>
              </w:rPr>
              <w:t xml:space="preserve">ecurrent severe infections often but not always presenting in childhood, failure to thrive and sometimes auto-immune and inflammatory manifestations. </w:t>
            </w:r>
          </w:p>
        </w:tc>
      </w:tr>
    </w:tbl>
    <w:p w:rsidR="009C0F44" w:rsidRDefault="009C0F44" w:rsidP="00E77DED">
      <w:pPr>
        <w:rPr>
          <w:b/>
          <w:sz w:val="28"/>
          <w:szCs w:val="28"/>
        </w:rPr>
      </w:pPr>
    </w:p>
    <w:p w:rsidR="009C0F44" w:rsidRDefault="009C0F44" w:rsidP="00E77DED">
      <w:pPr>
        <w:rPr>
          <w:b/>
          <w:sz w:val="28"/>
          <w:szCs w:val="28"/>
        </w:rPr>
      </w:pPr>
    </w:p>
    <w:p w:rsidR="00E77DED" w:rsidRPr="00E97AE3" w:rsidRDefault="00E77DED" w:rsidP="00E77DED">
      <w:pPr>
        <w:rPr>
          <w:b/>
          <w:sz w:val="28"/>
          <w:szCs w:val="28"/>
        </w:rPr>
      </w:pPr>
      <w:r w:rsidRPr="00E97AE3">
        <w:rPr>
          <w:b/>
          <w:sz w:val="28"/>
          <w:szCs w:val="28"/>
        </w:rPr>
        <w:t>History</w:t>
      </w:r>
      <w:r w:rsidR="009C0F44">
        <w:rPr>
          <w:b/>
          <w:sz w:val="28"/>
          <w:szCs w:val="28"/>
        </w:rPr>
        <w:tab/>
      </w:r>
      <w:r w:rsidR="009C0F44">
        <w:rPr>
          <w:b/>
          <w:sz w:val="28"/>
          <w:szCs w:val="28"/>
        </w:rPr>
        <w:tab/>
      </w:r>
      <w:r w:rsidR="009C0F44">
        <w:rPr>
          <w:b/>
          <w:sz w:val="28"/>
          <w:szCs w:val="28"/>
        </w:rPr>
        <w:tab/>
      </w:r>
      <w:r w:rsidR="009C0F44">
        <w:rPr>
          <w:b/>
          <w:noProof/>
          <w:sz w:val="40"/>
          <w:lang w:eastAsia="en-GB"/>
        </w:rPr>
        <w:drawing>
          <wp:inline distT="0" distB="0" distL="0" distR="0" wp14:anchorId="1DD5EB32" wp14:editId="32AC9F67">
            <wp:extent cx="2990850" cy="476250"/>
            <wp:effectExtent l="0" t="0" r="0" b="0"/>
            <wp:docPr id="2" name="Picture 2"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E77DED" w:rsidRDefault="00E77DED" w:rsidP="00E77DED">
      <w:r>
        <w:t>Important Features include:</w:t>
      </w:r>
    </w:p>
    <w:p w:rsidR="00E77DED" w:rsidRDefault="00E77DED" w:rsidP="00E77DED">
      <w:pPr>
        <w:pStyle w:val="ListParagraph"/>
        <w:numPr>
          <w:ilvl w:val="0"/>
          <w:numId w:val="13"/>
        </w:numPr>
      </w:pPr>
      <w:r>
        <w:t>Any recent infections</w:t>
      </w:r>
    </w:p>
    <w:p w:rsidR="00E77DED" w:rsidRDefault="00E77DED" w:rsidP="00E77DED">
      <w:pPr>
        <w:pStyle w:val="ListParagraph"/>
        <w:numPr>
          <w:ilvl w:val="0"/>
          <w:numId w:val="13"/>
        </w:numPr>
      </w:pPr>
      <w:r>
        <w:t xml:space="preserve">Risk factors for HIV or hepatitis </w:t>
      </w:r>
    </w:p>
    <w:p w:rsidR="00385911" w:rsidRDefault="00385911" w:rsidP="00E77DED">
      <w:pPr>
        <w:pStyle w:val="ListParagraph"/>
        <w:numPr>
          <w:ilvl w:val="0"/>
          <w:numId w:val="13"/>
        </w:numPr>
      </w:pPr>
      <w:r>
        <w:t>Drug history</w:t>
      </w:r>
    </w:p>
    <w:p w:rsidR="00385911" w:rsidRDefault="00E77DED" w:rsidP="00E77DED">
      <w:pPr>
        <w:pStyle w:val="ListParagraph"/>
        <w:numPr>
          <w:ilvl w:val="0"/>
          <w:numId w:val="13"/>
        </w:numPr>
      </w:pPr>
      <w:r>
        <w:t>Alcohol history</w:t>
      </w:r>
    </w:p>
    <w:p w:rsidR="00E77DED" w:rsidRDefault="00385911" w:rsidP="00E77DED">
      <w:pPr>
        <w:pStyle w:val="ListParagraph"/>
        <w:numPr>
          <w:ilvl w:val="0"/>
          <w:numId w:val="13"/>
        </w:numPr>
      </w:pPr>
      <w:r>
        <w:t>Nutritional status</w:t>
      </w:r>
      <w:r w:rsidR="00E77DED">
        <w:rPr>
          <w:b/>
          <w:noProof/>
          <w:sz w:val="40"/>
          <w:lang w:eastAsia="en-GB"/>
        </w:rPr>
        <w:t xml:space="preserve">                     </w:t>
      </w:r>
    </w:p>
    <w:p w:rsidR="00E77DED" w:rsidRPr="00E97AE3" w:rsidRDefault="00E77DED" w:rsidP="00E77DED">
      <w:pPr>
        <w:rPr>
          <w:b/>
          <w:sz w:val="28"/>
          <w:szCs w:val="28"/>
        </w:rPr>
      </w:pPr>
      <w:r w:rsidRPr="00E97AE3">
        <w:rPr>
          <w:b/>
          <w:sz w:val="28"/>
          <w:szCs w:val="28"/>
        </w:rPr>
        <w:t>Symptoms and Signs</w:t>
      </w:r>
    </w:p>
    <w:p w:rsidR="00E77DED" w:rsidRDefault="00E77DED" w:rsidP="00E77DED">
      <w:pPr>
        <w:pStyle w:val="ListParagraph"/>
        <w:numPr>
          <w:ilvl w:val="0"/>
          <w:numId w:val="14"/>
        </w:numPr>
      </w:pPr>
      <w:r>
        <w:t xml:space="preserve">Are there constitutional symptoms suggestive of malignancy (fever, weight loss, night sweats) </w:t>
      </w:r>
    </w:p>
    <w:p w:rsidR="00E77DED" w:rsidRDefault="00E77DED" w:rsidP="00E77DED">
      <w:pPr>
        <w:pStyle w:val="ListParagraph"/>
        <w:numPr>
          <w:ilvl w:val="0"/>
          <w:numId w:val="14"/>
        </w:numPr>
        <w:spacing w:after="0"/>
      </w:pPr>
      <w:r>
        <w:t>Assess for lymphadenopathy and hepatosplenomegaly</w:t>
      </w:r>
    </w:p>
    <w:p w:rsidR="00E77DED" w:rsidRDefault="00E77DED" w:rsidP="00E77DED">
      <w:pPr>
        <w:spacing w:after="0"/>
      </w:pPr>
    </w:p>
    <w:p w:rsidR="00385911" w:rsidRDefault="00385911" w:rsidP="00385911">
      <w:pPr>
        <w:spacing w:after="0"/>
        <w:rPr>
          <w:b/>
          <w:sz w:val="28"/>
          <w:szCs w:val="28"/>
        </w:rPr>
      </w:pPr>
      <w:r w:rsidRPr="00A222AA">
        <w:rPr>
          <w:b/>
          <w:sz w:val="28"/>
          <w:szCs w:val="28"/>
        </w:rPr>
        <w:t>Investigations</w:t>
      </w:r>
    </w:p>
    <w:p w:rsidR="00385911" w:rsidRDefault="00385911" w:rsidP="00385911">
      <w:pPr>
        <w:spacing w:after="0"/>
        <w:rPr>
          <w:rFonts w:ascii="Calibri" w:eastAsia="Calibri" w:hAnsi="Calibri" w:cs="Times New Roman"/>
          <w:u w:val="single"/>
        </w:rPr>
      </w:pPr>
    </w:p>
    <w:p w:rsidR="00385911" w:rsidRDefault="00385911" w:rsidP="00385911">
      <w:pPr>
        <w:pStyle w:val="ListParagraph"/>
        <w:numPr>
          <w:ilvl w:val="0"/>
          <w:numId w:val="21"/>
        </w:numPr>
        <w:spacing w:after="0"/>
      </w:pPr>
      <w:r>
        <w:t xml:space="preserve">If </w:t>
      </w:r>
      <w:r w:rsidR="00251355">
        <w:t xml:space="preserve">the </w:t>
      </w:r>
      <w:r>
        <w:t xml:space="preserve">patient otherwise well with isolated lymphopenia, repeat FBC at 6 months and if clinical condition and blood count stable, suggest no further investigation  </w:t>
      </w:r>
    </w:p>
    <w:p w:rsidR="009C0F44" w:rsidRDefault="009C0F44" w:rsidP="009C0F44">
      <w:pPr>
        <w:pStyle w:val="ListParagraph"/>
        <w:numPr>
          <w:ilvl w:val="0"/>
          <w:numId w:val="21"/>
        </w:numPr>
      </w:pPr>
      <w:r w:rsidRPr="009C0F44">
        <w:t>If no worrying features no further investigation required if lymphocyte count &gt; 0.5 in elderly or &gt; 1 in younger adults</w:t>
      </w:r>
    </w:p>
    <w:p w:rsidR="007E19C0" w:rsidRDefault="007E19C0" w:rsidP="007E19C0">
      <w:pPr>
        <w:pStyle w:val="ListParagraph"/>
        <w:spacing w:after="0"/>
      </w:pPr>
    </w:p>
    <w:tbl>
      <w:tblPr>
        <w:tblStyle w:val="TableGrid"/>
        <w:tblW w:w="0" w:type="auto"/>
        <w:tblLook w:val="04A0" w:firstRow="1" w:lastRow="0" w:firstColumn="1" w:lastColumn="0" w:noHBand="0" w:noVBand="1"/>
      </w:tblPr>
      <w:tblGrid>
        <w:gridCol w:w="2093"/>
        <w:gridCol w:w="7149"/>
      </w:tblGrid>
      <w:tr w:rsidR="00251355" w:rsidTr="00251355">
        <w:tc>
          <w:tcPr>
            <w:tcW w:w="2093" w:type="dxa"/>
          </w:tcPr>
          <w:p w:rsidR="00251355" w:rsidRDefault="00251355" w:rsidP="00385911">
            <w:pPr>
              <w:rPr>
                <w:rFonts w:ascii="Calibri" w:eastAsia="Calibri" w:hAnsi="Calibri" w:cs="Times New Roman"/>
              </w:rPr>
            </w:pPr>
            <w:r>
              <w:rPr>
                <w:rFonts w:ascii="Calibri" w:eastAsia="Calibri" w:hAnsi="Calibri" w:cs="Times New Roman"/>
              </w:rPr>
              <w:t>Initial Investigations</w:t>
            </w:r>
          </w:p>
        </w:tc>
        <w:tc>
          <w:tcPr>
            <w:tcW w:w="7149" w:type="dxa"/>
          </w:tcPr>
          <w:p w:rsidR="00251355" w:rsidRDefault="00251355" w:rsidP="00385911">
            <w:pPr>
              <w:rPr>
                <w:rFonts w:ascii="Calibri" w:eastAsia="Calibri" w:hAnsi="Calibri" w:cs="Times New Roman"/>
              </w:rPr>
            </w:pPr>
            <w:r>
              <w:rPr>
                <w:rFonts w:ascii="Calibri" w:eastAsia="Calibri" w:hAnsi="Calibri" w:cs="Times New Roman"/>
              </w:rPr>
              <w:t>Investigations to consider</w:t>
            </w:r>
          </w:p>
        </w:tc>
      </w:tr>
      <w:tr w:rsidR="00251355" w:rsidTr="00251355">
        <w:tc>
          <w:tcPr>
            <w:tcW w:w="2093" w:type="dxa"/>
            <w:vMerge w:val="restart"/>
          </w:tcPr>
          <w:p w:rsidR="00251355" w:rsidRDefault="00251355" w:rsidP="00385911">
            <w:pPr>
              <w:rPr>
                <w:rFonts w:ascii="Calibri" w:eastAsia="Calibri" w:hAnsi="Calibri" w:cs="Times New Roman"/>
              </w:rPr>
            </w:pPr>
            <w:r w:rsidRPr="00251355">
              <w:rPr>
                <w:rFonts w:ascii="Calibri" w:eastAsia="Calibri" w:hAnsi="Calibri" w:cs="Times New Roman"/>
              </w:rPr>
              <w:t>Repeat FBC + Blood film</w:t>
            </w:r>
          </w:p>
        </w:tc>
        <w:tc>
          <w:tcPr>
            <w:tcW w:w="7149" w:type="dxa"/>
          </w:tcPr>
          <w:p w:rsidR="00251355" w:rsidRDefault="00251355" w:rsidP="00642A79">
            <w:pPr>
              <w:rPr>
                <w:rFonts w:ascii="Calibri" w:eastAsia="Calibri" w:hAnsi="Calibri" w:cs="Times New Roman"/>
              </w:rPr>
            </w:pPr>
            <w:r w:rsidRPr="007E19C0">
              <w:rPr>
                <w:rFonts w:ascii="Calibri" w:eastAsia="Calibri" w:hAnsi="Calibri" w:cs="Times New Roman"/>
              </w:rPr>
              <w:t>B12/folate</w:t>
            </w:r>
          </w:p>
        </w:tc>
      </w:tr>
      <w:tr w:rsidR="00251355" w:rsidTr="00251355">
        <w:tc>
          <w:tcPr>
            <w:tcW w:w="2093" w:type="dxa"/>
            <w:vMerge/>
          </w:tcPr>
          <w:p w:rsidR="00251355" w:rsidRDefault="00251355" w:rsidP="00385911">
            <w:pPr>
              <w:rPr>
                <w:rFonts w:ascii="Calibri" w:eastAsia="Calibri" w:hAnsi="Calibri" w:cs="Times New Roman"/>
              </w:rPr>
            </w:pPr>
          </w:p>
        </w:tc>
        <w:tc>
          <w:tcPr>
            <w:tcW w:w="7149" w:type="dxa"/>
          </w:tcPr>
          <w:p w:rsidR="00251355" w:rsidRDefault="00251355" w:rsidP="00642A79">
            <w:pPr>
              <w:rPr>
                <w:rFonts w:ascii="Calibri" w:eastAsia="Calibri" w:hAnsi="Calibri" w:cs="Times New Roman"/>
              </w:rPr>
            </w:pPr>
            <w:r>
              <w:rPr>
                <w:rFonts w:ascii="Calibri" w:eastAsia="Calibri" w:hAnsi="Calibri" w:cs="Times New Roman"/>
              </w:rPr>
              <w:t>U+E</w:t>
            </w:r>
          </w:p>
        </w:tc>
      </w:tr>
      <w:tr w:rsidR="00251355" w:rsidTr="00251355">
        <w:tc>
          <w:tcPr>
            <w:tcW w:w="2093" w:type="dxa"/>
            <w:vMerge/>
          </w:tcPr>
          <w:p w:rsidR="00251355" w:rsidRDefault="00251355" w:rsidP="00385911">
            <w:pPr>
              <w:rPr>
                <w:rFonts w:ascii="Calibri" w:eastAsia="Calibri" w:hAnsi="Calibri" w:cs="Times New Roman"/>
              </w:rPr>
            </w:pPr>
          </w:p>
        </w:tc>
        <w:tc>
          <w:tcPr>
            <w:tcW w:w="7149" w:type="dxa"/>
          </w:tcPr>
          <w:p w:rsidR="00251355" w:rsidRDefault="00251355" w:rsidP="00642A79">
            <w:pPr>
              <w:rPr>
                <w:rFonts w:ascii="Calibri" w:eastAsia="Calibri" w:hAnsi="Calibri" w:cs="Times New Roman"/>
              </w:rPr>
            </w:pPr>
            <w:r w:rsidRPr="007E19C0">
              <w:rPr>
                <w:rFonts w:ascii="Calibri" w:eastAsia="Calibri" w:hAnsi="Calibri" w:cs="Times New Roman"/>
              </w:rPr>
              <w:t>LFT inclu</w:t>
            </w:r>
            <w:r>
              <w:rPr>
                <w:rFonts w:ascii="Calibri" w:eastAsia="Calibri" w:hAnsi="Calibri" w:cs="Times New Roman"/>
              </w:rPr>
              <w:t xml:space="preserve">ding gamma </w:t>
            </w:r>
            <w:proofErr w:type="spellStart"/>
            <w:r>
              <w:rPr>
                <w:rFonts w:ascii="Calibri" w:eastAsia="Calibri" w:hAnsi="Calibri" w:cs="Times New Roman"/>
              </w:rPr>
              <w:t>glutamyl</w:t>
            </w:r>
            <w:proofErr w:type="spellEnd"/>
            <w:r>
              <w:rPr>
                <w:rFonts w:ascii="Calibri" w:eastAsia="Calibri" w:hAnsi="Calibri" w:cs="Times New Roman"/>
              </w:rPr>
              <w:t xml:space="preserve"> transferase</w:t>
            </w:r>
          </w:p>
        </w:tc>
      </w:tr>
      <w:tr w:rsidR="00251355" w:rsidTr="00251355">
        <w:tc>
          <w:tcPr>
            <w:tcW w:w="2093" w:type="dxa"/>
            <w:vMerge/>
          </w:tcPr>
          <w:p w:rsidR="00251355" w:rsidRDefault="00251355" w:rsidP="00385911">
            <w:pPr>
              <w:rPr>
                <w:rFonts w:ascii="Calibri" w:eastAsia="Calibri" w:hAnsi="Calibri" w:cs="Times New Roman"/>
              </w:rPr>
            </w:pPr>
          </w:p>
        </w:tc>
        <w:tc>
          <w:tcPr>
            <w:tcW w:w="7149" w:type="dxa"/>
          </w:tcPr>
          <w:p w:rsidR="00251355" w:rsidRDefault="00251355" w:rsidP="00642A79">
            <w:pPr>
              <w:rPr>
                <w:rFonts w:ascii="Calibri" w:eastAsia="Calibri" w:hAnsi="Calibri" w:cs="Times New Roman"/>
              </w:rPr>
            </w:pPr>
            <w:r>
              <w:rPr>
                <w:rFonts w:ascii="Calibri" w:eastAsia="Calibri" w:hAnsi="Calibri" w:cs="Times New Roman"/>
              </w:rPr>
              <w:t>Virology:</w:t>
            </w:r>
            <w:r w:rsidRPr="00251355">
              <w:rPr>
                <w:rFonts w:ascii="Calibri" w:eastAsia="Calibri" w:hAnsi="Calibri" w:cs="Times New Roman"/>
                <w:b/>
              </w:rPr>
              <w:t xml:space="preserve"> HIV</w:t>
            </w:r>
            <w:r>
              <w:rPr>
                <w:rFonts w:ascii="Calibri" w:eastAsia="Calibri" w:hAnsi="Calibri" w:cs="Times New Roman"/>
              </w:rPr>
              <w:t>, Hepatitis B/C</w:t>
            </w:r>
          </w:p>
        </w:tc>
      </w:tr>
      <w:tr w:rsidR="00251355" w:rsidTr="00251355">
        <w:tc>
          <w:tcPr>
            <w:tcW w:w="2093" w:type="dxa"/>
            <w:vMerge/>
          </w:tcPr>
          <w:p w:rsidR="00251355" w:rsidRDefault="00251355" w:rsidP="00385911">
            <w:pPr>
              <w:rPr>
                <w:rFonts w:ascii="Calibri" w:eastAsia="Calibri" w:hAnsi="Calibri" w:cs="Times New Roman"/>
              </w:rPr>
            </w:pPr>
          </w:p>
        </w:tc>
        <w:tc>
          <w:tcPr>
            <w:tcW w:w="7149" w:type="dxa"/>
          </w:tcPr>
          <w:p w:rsidR="00251355" w:rsidRDefault="00251355" w:rsidP="00642A79">
            <w:pPr>
              <w:rPr>
                <w:rFonts w:ascii="Calibri" w:eastAsia="Calibri" w:hAnsi="Calibri" w:cs="Times New Roman"/>
              </w:rPr>
            </w:pPr>
            <w:r w:rsidRPr="007E19C0">
              <w:rPr>
                <w:rFonts w:ascii="Calibri" w:eastAsia="Calibri" w:hAnsi="Calibri" w:cs="Times New Roman"/>
              </w:rPr>
              <w:t>Auto-antibody screen: ANA, anti-phospholipid antibodies (</w:t>
            </w:r>
            <w:proofErr w:type="spellStart"/>
            <w:r w:rsidRPr="007E19C0">
              <w:rPr>
                <w:rFonts w:ascii="Calibri" w:eastAsia="Calibri" w:hAnsi="Calibri" w:cs="Times New Roman"/>
              </w:rPr>
              <w:t>anticardiolipin</w:t>
            </w:r>
            <w:proofErr w:type="spellEnd"/>
            <w:r w:rsidRPr="007E19C0">
              <w:rPr>
                <w:rFonts w:ascii="Calibri" w:eastAsia="Calibri" w:hAnsi="Calibri" w:cs="Times New Roman"/>
              </w:rPr>
              <w:t xml:space="preserve"> antibodies and lupus anticoagulant) if connective tissue disorder suspected</w:t>
            </w:r>
          </w:p>
        </w:tc>
      </w:tr>
      <w:tr w:rsidR="00251355" w:rsidTr="00251355">
        <w:tc>
          <w:tcPr>
            <w:tcW w:w="2093" w:type="dxa"/>
            <w:vMerge/>
          </w:tcPr>
          <w:p w:rsidR="00251355" w:rsidRDefault="00251355" w:rsidP="00385911">
            <w:pPr>
              <w:rPr>
                <w:rFonts w:ascii="Calibri" w:eastAsia="Calibri" w:hAnsi="Calibri" w:cs="Times New Roman"/>
              </w:rPr>
            </w:pPr>
          </w:p>
        </w:tc>
        <w:tc>
          <w:tcPr>
            <w:tcW w:w="7149" w:type="dxa"/>
          </w:tcPr>
          <w:p w:rsidR="00251355" w:rsidRDefault="00251355" w:rsidP="00642A79">
            <w:pPr>
              <w:rPr>
                <w:rFonts w:ascii="Calibri" w:eastAsia="Calibri" w:hAnsi="Calibri" w:cs="Times New Roman"/>
              </w:rPr>
            </w:pPr>
            <w:r w:rsidRPr="007E19C0">
              <w:rPr>
                <w:rFonts w:ascii="Calibri" w:eastAsia="Calibri" w:hAnsi="Calibri" w:cs="Times New Roman"/>
              </w:rPr>
              <w:t>Serum immunoglobulins and protein electrophoresis</w:t>
            </w:r>
          </w:p>
        </w:tc>
      </w:tr>
    </w:tbl>
    <w:p w:rsidR="00385911" w:rsidRDefault="00385911" w:rsidP="00385911">
      <w:pPr>
        <w:spacing w:after="0"/>
        <w:rPr>
          <w:rFonts w:ascii="Calibri" w:eastAsia="Calibri" w:hAnsi="Calibri" w:cs="Times New Roman"/>
          <w:u w:val="single"/>
        </w:rPr>
      </w:pPr>
    </w:p>
    <w:p w:rsidR="00EA2512" w:rsidRPr="007E19C0" w:rsidRDefault="00385911" w:rsidP="007E19C0">
      <w:pPr>
        <w:rPr>
          <w:b/>
          <w:sz w:val="28"/>
          <w:szCs w:val="28"/>
        </w:rPr>
      </w:pPr>
      <w:r w:rsidRPr="002A2514">
        <w:rPr>
          <w:b/>
          <w:sz w:val="28"/>
          <w:szCs w:val="28"/>
        </w:rPr>
        <w:t>Referral</w:t>
      </w:r>
    </w:p>
    <w:p w:rsidR="00EA2512" w:rsidRPr="00F3784B" w:rsidRDefault="00EA2512" w:rsidP="00EA2512">
      <w:pPr>
        <w:spacing w:after="0"/>
        <w:rPr>
          <w:u w:val="single"/>
        </w:rPr>
      </w:pPr>
      <w:r w:rsidRPr="00F3784B">
        <w:rPr>
          <w:u w:val="single"/>
        </w:rPr>
        <w:t>Indications for referral</w:t>
      </w:r>
    </w:p>
    <w:p w:rsidR="009C0F44" w:rsidRDefault="00EA2512" w:rsidP="009C0F44">
      <w:pPr>
        <w:pStyle w:val="ListParagraph"/>
        <w:numPr>
          <w:ilvl w:val="0"/>
          <w:numId w:val="22"/>
        </w:numPr>
        <w:spacing w:after="0"/>
      </w:pPr>
      <w:r>
        <w:t xml:space="preserve">Suggestive evidence of an underlying malignant, haematological or systemic disorder following first line investigations. </w:t>
      </w:r>
    </w:p>
    <w:p w:rsidR="009C0F44" w:rsidRDefault="00EA2512" w:rsidP="00EA2512">
      <w:pPr>
        <w:pStyle w:val="ListParagraph"/>
        <w:numPr>
          <w:ilvl w:val="0"/>
          <w:numId w:val="22"/>
        </w:numPr>
        <w:spacing w:after="0"/>
      </w:pPr>
      <w:r>
        <w:t>Refer to most appropriate speciality on basis of clinical and laboratory features</w:t>
      </w:r>
    </w:p>
    <w:p w:rsidR="009C0F44" w:rsidRDefault="00EA2512" w:rsidP="00EA2512">
      <w:pPr>
        <w:pStyle w:val="ListParagraph"/>
        <w:numPr>
          <w:ilvl w:val="0"/>
          <w:numId w:val="22"/>
        </w:numPr>
        <w:spacing w:after="0"/>
      </w:pPr>
      <w:r>
        <w:t>Suspected primary immunodeficiency: suggest refer Immunology (Southampton)</w:t>
      </w:r>
    </w:p>
    <w:p w:rsidR="00EA2512" w:rsidRDefault="00EA2512" w:rsidP="00EA2512">
      <w:pPr>
        <w:pStyle w:val="ListParagraph"/>
        <w:numPr>
          <w:ilvl w:val="0"/>
          <w:numId w:val="22"/>
        </w:numPr>
        <w:spacing w:after="0"/>
      </w:pPr>
      <w:r>
        <w:t>Persistent severe lymphopenia with recurrent infections: Suggest refer Immunology (Southampton)</w:t>
      </w:r>
    </w:p>
    <w:p w:rsidR="00EA2512" w:rsidRDefault="002443C0" w:rsidP="007B2078">
      <w:pPr>
        <w:tabs>
          <w:tab w:val="center" w:pos="4513"/>
        </w:tabs>
      </w:pPr>
      <w:r>
        <w:rPr>
          <w:b/>
          <w:sz w:val="28"/>
          <w:szCs w:val="28"/>
        </w:rPr>
        <w:t>References</w:t>
      </w:r>
      <w:r w:rsidR="007B2078">
        <w:rPr>
          <w:b/>
          <w:sz w:val="28"/>
          <w:szCs w:val="28"/>
        </w:rPr>
        <w:tab/>
      </w:r>
      <w:bookmarkStart w:id="0" w:name="_GoBack"/>
      <w:bookmarkEnd w:id="0"/>
    </w:p>
    <w:sectPr w:rsidR="00EA2512" w:rsidSect="00251355">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EC" w:rsidRDefault="00337FEC" w:rsidP="006658FF">
      <w:pPr>
        <w:spacing w:after="0" w:line="240" w:lineRule="auto"/>
      </w:pPr>
      <w:r>
        <w:separator/>
      </w:r>
    </w:p>
  </w:endnote>
  <w:endnote w:type="continuationSeparator" w:id="0">
    <w:p w:rsidR="00337FEC" w:rsidRDefault="00337FEC" w:rsidP="0066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55" w:rsidRPr="00251355" w:rsidRDefault="00251355">
    <w:pPr>
      <w:pStyle w:val="Footer"/>
      <w:rPr>
        <w:sz w:val="18"/>
        <w:szCs w:val="18"/>
      </w:rPr>
    </w:pPr>
    <w:r w:rsidRPr="00251355">
      <w:rPr>
        <w:sz w:val="18"/>
        <w:szCs w:val="18"/>
      </w:rPr>
      <w:t>Lymphopenia guidance. Authors: Jenny Arnold, Noel Ryman. Version 1. Approved on: 01 March 2018. Review date: 01 March 2021</w:t>
    </w:r>
  </w:p>
  <w:p w:rsidR="00251355" w:rsidRDefault="0025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EC" w:rsidRDefault="00337FEC" w:rsidP="006658FF">
      <w:pPr>
        <w:spacing w:after="0" w:line="240" w:lineRule="auto"/>
      </w:pPr>
      <w:r>
        <w:separator/>
      </w:r>
    </w:p>
  </w:footnote>
  <w:footnote w:type="continuationSeparator" w:id="0">
    <w:p w:rsidR="00337FEC" w:rsidRDefault="00337FEC" w:rsidP="00665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CA"/>
    <w:multiLevelType w:val="hybridMultilevel"/>
    <w:tmpl w:val="29B8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33398"/>
    <w:multiLevelType w:val="hybridMultilevel"/>
    <w:tmpl w:val="698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2522A"/>
    <w:multiLevelType w:val="hybridMultilevel"/>
    <w:tmpl w:val="96D6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46255"/>
    <w:multiLevelType w:val="hybridMultilevel"/>
    <w:tmpl w:val="647668F0"/>
    <w:lvl w:ilvl="0" w:tplc="EF703D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7063F93"/>
    <w:multiLevelType w:val="hybridMultilevel"/>
    <w:tmpl w:val="626E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15C28"/>
    <w:multiLevelType w:val="hybridMultilevel"/>
    <w:tmpl w:val="2E88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F5FB6"/>
    <w:multiLevelType w:val="hybridMultilevel"/>
    <w:tmpl w:val="158CE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E360C5"/>
    <w:multiLevelType w:val="hybridMultilevel"/>
    <w:tmpl w:val="C772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9108B5"/>
    <w:multiLevelType w:val="hybridMultilevel"/>
    <w:tmpl w:val="83F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D37F4"/>
    <w:multiLevelType w:val="hybridMultilevel"/>
    <w:tmpl w:val="67F6B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D43609"/>
    <w:multiLevelType w:val="hybridMultilevel"/>
    <w:tmpl w:val="C0F8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BD09A1"/>
    <w:multiLevelType w:val="hybridMultilevel"/>
    <w:tmpl w:val="C1CA0EF2"/>
    <w:lvl w:ilvl="0" w:tplc="9CE48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FFF2BFD"/>
    <w:multiLevelType w:val="hybridMultilevel"/>
    <w:tmpl w:val="103A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B16CAE"/>
    <w:multiLevelType w:val="hybridMultilevel"/>
    <w:tmpl w:val="2954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F91B41"/>
    <w:multiLevelType w:val="hybridMultilevel"/>
    <w:tmpl w:val="5A2A6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BE12BF"/>
    <w:multiLevelType w:val="hybridMultilevel"/>
    <w:tmpl w:val="AAB0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4B4512"/>
    <w:multiLevelType w:val="hybridMultilevel"/>
    <w:tmpl w:val="2F0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065A0E"/>
    <w:multiLevelType w:val="hybridMultilevel"/>
    <w:tmpl w:val="3A0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5D6F99"/>
    <w:multiLevelType w:val="hybridMultilevel"/>
    <w:tmpl w:val="196C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663250"/>
    <w:multiLevelType w:val="hybridMultilevel"/>
    <w:tmpl w:val="41B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AF16BD"/>
    <w:multiLevelType w:val="hybridMultilevel"/>
    <w:tmpl w:val="0436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982DD5"/>
    <w:multiLevelType w:val="hybridMultilevel"/>
    <w:tmpl w:val="DDE0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4"/>
  </w:num>
  <w:num w:numId="5">
    <w:abstractNumId w:val="3"/>
  </w:num>
  <w:num w:numId="6">
    <w:abstractNumId w:val="10"/>
  </w:num>
  <w:num w:numId="7">
    <w:abstractNumId w:val="11"/>
  </w:num>
  <w:num w:numId="8">
    <w:abstractNumId w:val="4"/>
  </w:num>
  <w:num w:numId="9">
    <w:abstractNumId w:val="13"/>
  </w:num>
  <w:num w:numId="10">
    <w:abstractNumId w:val="8"/>
  </w:num>
  <w:num w:numId="11">
    <w:abstractNumId w:val="17"/>
  </w:num>
  <w:num w:numId="12">
    <w:abstractNumId w:val="19"/>
  </w:num>
  <w:num w:numId="13">
    <w:abstractNumId w:val="18"/>
  </w:num>
  <w:num w:numId="14">
    <w:abstractNumId w:val="2"/>
  </w:num>
  <w:num w:numId="15">
    <w:abstractNumId w:val="16"/>
  </w:num>
  <w:num w:numId="16">
    <w:abstractNumId w:val="5"/>
  </w:num>
  <w:num w:numId="17">
    <w:abstractNumId w:val="6"/>
  </w:num>
  <w:num w:numId="18">
    <w:abstractNumId w:val="15"/>
  </w:num>
  <w:num w:numId="19">
    <w:abstractNumId w:val="1"/>
  </w:num>
  <w:num w:numId="20">
    <w:abstractNumId w:val="2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27"/>
    <w:rsid w:val="0004394B"/>
    <w:rsid w:val="00131E61"/>
    <w:rsid w:val="00163A1B"/>
    <w:rsid w:val="001A5BAE"/>
    <w:rsid w:val="002443C0"/>
    <w:rsid w:val="00251355"/>
    <w:rsid w:val="002A2514"/>
    <w:rsid w:val="00336654"/>
    <w:rsid w:val="00337FEC"/>
    <w:rsid w:val="003531DC"/>
    <w:rsid w:val="00385911"/>
    <w:rsid w:val="003C01EF"/>
    <w:rsid w:val="003F67A5"/>
    <w:rsid w:val="00445EDF"/>
    <w:rsid w:val="004757A9"/>
    <w:rsid w:val="004D69DE"/>
    <w:rsid w:val="00523785"/>
    <w:rsid w:val="0053345F"/>
    <w:rsid w:val="00553515"/>
    <w:rsid w:val="005D342C"/>
    <w:rsid w:val="006008EA"/>
    <w:rsid w:val="00607D7F"/>
    <w:rsid w:val="006658FF"/>
    <w:rsid w:val="0066672C"/>
    <w:rsid w:val="006E4CF4"/>
    <w:rsid w:val="006E68F1"/>
    <w:rsid w:val="006E6DF5"/>
    <w:rsid w:val="00716348"/>
    <w:rsid w:val="00751CD8"/>
    <w:rsid w:val="007852CF"/>
    <w:rsid w:val="007B2078"/>
    <w:rsid w:val="007B666A"/>
    <w:rsid w:val="007D36B5"/>
    <w:rsid w:val="007E19C0"/>
    <w:rsid w:val="00801D60"/>
    <w:rsid w:val="00832185"/>
    <w:rsid w:val="008504C7"/>
    <w:rsid w:val="00864BD3"/>
    <w:rsid w:val="0087642E"/>
    <w:rsid w:val="00896CA2"/>
    <w:rsid w:val="00937D96"/>
    <w:rsid w:val="009C0F44"/>
    <w:rsid w:val="00A00C8E"/>
    <w:rsid w:val="00A05727"/>
    <w:rsid w:val="00A222AA"/>
    <w:rsid w:val="00A40D92"/>
    <w:rsid w:val="00A6021A"/>
    <w:rsid w:val="00A95F47"/>
    <w:rsid w:val="00AC2D9A"/>
    <w:rsid w:val="00AF0697"/>
    <w:rsid w:val="00B22A75"/>
    <w:rsid w:val="00C676B2"/>
    <w:rsid w:val="00CA295B"/>
    <w:rsid w:val="00CD74F2"/>
    <w:rsid w:val="00D00AA1"/>
    <w:rsid w:val="00D0595B"/>
    <w:rsid w:val="00D63FD1"/>
    <w:rsid w:val="00DF5D0A"/>
    <w:rsid w:val="00E56F53"/>
    <w:rsid w:val="00E77DED"/>
    <w:rsid w:val="00E97AE3"/>
    <w:rsid w:val="00EA2512"/>
    <w:rsid w:val="00F407B7"/>
    <w:rsid w:val="00F743CE"/>
    <w:rsid w:val="00F82594"/>
    <w:rsid w:val="00FB5312"/>
    <w:rsid w:val="00FB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34"/>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34"/>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64">
      <w:bodyDiv w:val="1"/>
      <w:marLeft w:val="0"/>
      <w:marRight w:val="0"/>
      <w:marTop w:val="0"/>
      <w:marBottom w:val="0"/>
      <w:divBdr>
        <w:top w:val="none" w:sz="0" w:space="0" w:color="auto"/>
        <w:left w:val="none" w:sz="0" w:space="0" w:color="auto"/>
        <w:bottom w:val="none" w:sz="0" w:space="0" w:color="auto"/>
        <w:right w:val="none" w:sz="0" w:space="0" w:color="auto"/>
      </w:divBdr>
    </w:div>
    <w:div w:id="4997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3C56-8751-47DC-9133-50596700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HHFT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Roger</dc:creator>
  <cp:lastModifiedBy>user</cp:lastModifiedBy>
  <cp:revision>3</cp:revision>
  <dcterms:created xsi:type="dcterms:W3CDTF">2018-02-28T09:15:00Z</dcterms:created>
  <dcterms:modified xsi:type="dcterms:W3CDTF">2018-04-17T09:13:00Z</dcterms:modified>
</cp:coreProperties>
</file>