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7A5" w:rsidRDefault="00A05727" w:rsidP="003F67A5">
      <w:pPr>
        <w:ind w:left="3600" w:firstLine="720"/>
        <w:jc w:val="center"/>
        <w:rPr>
          <w:u w:val="single"/>
        </w:rPr>
      </w:pPr>
      <w:r>
        <w:rPr>
          <w:b/>
          <w:noProof/>
          <w:sz w:val="40"/>
          <w:lang w:eastAsia="en-GB"/>
        </w:rPr>
        <w:drawing>
          <wp:inline distT="0" distB="0" distL="0" distR="0" wp14:anchorId="37B53997" wp14:editId="3E6F3683">
            <wp:extent cx="2990850" cy="476250"/>
            <wp:effectExtent l="0" t="0" r="0" b="0"/>
            <wp:docPr id="1" name="Picture 1"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937D96" w:rsidRPr="003F67A5" w:rsidRDefault="00D01426" w:rsidP="003F67A5">
      <w:pPr>
        <w:jc w:val="center"/>
        <w:rPr>
          <w:b/>
          <w:sz w:val="36"/>
          <w:szCs w:val="36"/>
        </w:rPr>
      </w:pPr>
      <w:r>
        <w:rPr>
          <w:b/>
          <w:sz w:val="36"/>
          <w:szCs w:val="36"/>
        </w:rPr>
        <w:t>Lymphadenopathy</w:t>
      </w:r>
    </w:p>
    <w:p w:rsidR="00B32C45" w:rsidRDefault="00B32C45" w:rsidP="00B32C45">
      <w:pPr>
        <w:rPr>
          <w:b/>
          <w:sz w:val="28"/>
          <w:szCs w:val="28"/>
        </w:rPr>
      </w:pPr>
      <w:r w:rsidRPr="003F67A5">
        <w:rPr>
          <w:b/>
          <w:sz w:val="28"/>
          <w:szCs w:val="28"/>
        </w:rPr>
        <w:t>Presentation</w:t>
      </w:r>
    </w:p>
    <w:p w:rsidR="00B32C45" w:rsidRDefault="00B32C45" w:rsidP="00B32C45">
      <w:pPr>
        <w:rPr>
          <w:u w:val="single"/>
        </w:rPr>
      </w:pPr>
      <w:r>
        <w:rPr>
          <w:u w:val="single"/>
        </w:rPr>
        <w:t>Definition</w:t>
      </w:r>
    </w:p>
    <w:p w:rsidR="00D01426" w:rsidRDefault="00604591" w:rsidP="00B32C45">
      <w:r>
        <w:t>L</w:t>
      </w:r>
      <w:r w:rsidR="00D01426">
        <w:t xml:space="preserve">ymph nodes </w:t>
      </w:r>
      <w:proofErr w:type="gramStart"/>
      <w:r w:rsidR="00D01426">
        <w:t>that are</w:t>
      </w:r>
      <w:proofErr w:type="gramEnd"/>
      <w:r w:rsidR="00D01426">
        <w:t xml:space="preserve"> abnormal in size, consistency or number. The extent of the lymphadenopathy is defined as localised, regional or generalised.</w:t>
      </w:r>
    </w:p>
    <w:p w:rsidR="00B32C45" w:rsidRPr="003F67A5" w:rsidRDefault="00B32C45" w:rsidP="00B32C45">
      <w:pPr>
        <w:rPr>
          <w:b/>
          <w:sz w:val="28"/>
          <w:szCs w:val="28"/>
        </w:rPr>
      </w:pPr>
      <w:r w:rsidRPr="003F67A5">
        <w:rPr>
          <w:b/>
          <w:sz w:val="28"/>
          <w:szCs w:val="28"/>
        </w:rPr>
        <w:t>Clinical Findings</w:t>
      </w:r>
    </w:p>
    <w:p w:rsidR="00D01426" w:rsidRDefault="00D01426" w:rsidP="00D85FEF">
      <w:r>
        <w:t>Close attentions should be paid to the size, location, consistency and number of enlarged lymph nodes, as well as the patient’s age and any associated symptoms.</w:t>
      </w:r>
    </w:p>
    <w:p w:rsidR="00B32C45" w:rsidRPr="00D85FEF" w:rsidRDefault="00B32C45" w:rsidP="00D85FEF">
      <w:pPr>
        <w:rPr>
          <w:b/>
          <w:sz w:val="28"/>
          <w:szCs w:val="28"/>
        </w:rPr>
      </w:pPr>
      <w:r w:rsidRPr="00131E61">
        <w:rPr>
          <w:b/>
          <w:sz w:val="28"/>
          <w:szCs w:val="28"/>
        </w:rPr>
        <w:t>Causes</w:t>
      </w:r>
      <w:r>
        <w:t xml:space="preserve"> </w:t>
      </w:r>
    </w:p>
    <w:tbl>
      <w:tblPr>
        <w:tblStyle w:val="TableGrid"/>
        <w:tblW w:w="0" w:type="auto"/>
        <w:tblLook w:val="04A0" w:firstRow="1" w:lastRow="0" w:firstColumn="1" w:lastColumn="0" w:noHBand="0" w:noVBand="1"/>
      </w:tblPr>
      <w:tblGrid>
        <w:gridCol w:w="2802"/>
        <w:gridCol w:w="6440"/>
      </w:tblGrid>
      <w:tr w:rsidR="00B32C45" w:rsidTr="00CB65C2">
        <w:tc>
          <w:tcPr>
            <w:tcW w:w="2802" w:type="dxa"/>
          </w:tcPr>
          <w:p w:rsidR="00B32C45" w:rsidRDefault="0035143B" w:rsidP="00CB65C2">
            <w:r>
              <w:t>Reactive: infection</w:t>
            </w:r>
          </w:p>
        </w:tc>
        <w:tc>
          <w:tcPr>
            <w:tcW w:w="6440" w:type="dxa"/>
          </w:tcPr>
          <w:p w:rsidR="008435DE" w:rsidRDefault="0035143B" w:rsidP="00D85FEF">
            <w:r>
              <w:t>Bacterial (pyogenic, TB, Brucella, syphilis), fungal, viral (EBV, CMV, HIV), toxoplasmosis</w:t>
            </w:r>
          </w:p>
        </w:tc>
      </w:tr>
      <w:tr w:rsidR="00B32C45" w:rsidTr="00CB65C2">
        <w:tc>
          <w:tcPr>
            <w:tcW w:w="2802" w:type="dxa"/>
          </w:tcPr>
          <w:p w:rsidR="00B32C45" w:rsidRDefault="0035143B" w:rsidP="00CB65C2">
            <w:r>
              <w:t>Reactive: non infective</w:t>
            </w:r>
          </w:p>
        </w:tc>
        <w:tc>
          <w:tcPr>
            <w:tcW w:w="6440" w:type="dxa"/>
          </w:tcPr>
          <w:p w:rsidR="00B32C45" w:rsidRDefault="0035143B" w:rsidP="00D85FEF">
            <w:r>
              <w:t xml:space="preserve">Sarcoidosis, connective tissue disease, </w:t>
            </w:r>
            <w:proofErr w:type="spellStart"/>
            <w:r>
              <w:t>dermatopathic</w:t>
            </w:r>
            <w:proofErr w:type="spellEnd"/>
            <w:r>
              <w:t xml:space="preserve"> (eczema, psoriasis), drugs (phenytoin).</w:t>
            </w:r>
          </w:p>
        </w:tc>
      </w:tr>
      <w:tr w:rsidR="00B32C45" w:rsidTr="00CB65C2">
        <w:tc>
          <w:tcPr>
            <w:tcW w:w="2802" w:type="dxa"/>
          </w:tcPr>
          <w:p w:rsidR="00B32C45" w:rsidRDefault="0035143B" w:rsidP="00CB65C2">
            <w:r>
              <w:t>Malignant</w:t>
            </w:r>
          </w:p>
        </w:tc>
        <w:tc>
          <w:tcPr>
            <w:tcW w:w="6440" w:type="dxa"/>
          </w:tcPr>
          <w:p w:rsidR="00B32C45" w:rsidRDefault="0035143B" w:rsidP="00D85FEF">
            <w:r>
              <w:t xml:space="preserve">Lymphoma, metastases, </w:t>
            </w:r>
            <w:proofErr w:type="spellStart"/>
            <w:r>
              <w:t>histiocytosis</w:t>
            </w:r>
            <w:proofErr w:type="spellEnd"/>
          </w:p>
        </w:tc>
      </w:tr>
    </w:tbl>
    <w:p w:rsidR="00B32C45" w:rsidRDefault="00B32C45" w:rsidP="00B32C45">
      <w:pPr>
        <w:rPr>
          <w:b/>
          <w:sz w:val="28"/>
          <w:szCs w:val="28"/>
          <w:u w:val="single"/>
        </w:rPr>
      </w:pPr>
    </w:p>
    <w:p w:rsidR="007B1F34" w:rsidRPr="00E97AE3" w:rsidRDefault="007B1F34" w:rsidP="007B1F34">
      <w:pPr>
        <w:rPr>
          <w:b/>
          <w:sz w:val="28"/>
          <w:szCs w:val="28"/>
        </w:rPr>
      </w:pPr>
      <w:r w:rsidRPr="00E97AE3">
        <w:rPr>
          <w:b/>
          <w:sz w:val="28"/>
          <w:szCs w:val="28"/>
        </w:rPr>
        <w:t>History</w:t>
      </w:r>
      <w:r w:rsidR="008435DE">
        <w:rPr>
          <w:b/>
          <w:sz w:val="28"/>
          <w:szCs w:val="28"/>
        </w:rPr>
        <w:t xml:space="preserve"> (key aspects)</w:t>
      </w:r>
    </w:p>
    <w:p w:rsidR="00846476" w:rsidRDefault="008435DE" w:rsidP="007B1F34">
      <w:pPr>
        <w:pStyle w:val="ListParagraph"/>
        <w:numPr>
          <w:ilvl w:val="0"/>
          <w:numId w:val="13"/>
        </w:numPr>
        <w:spacing w:after="0" w:line="240" w:lineRule="auto"/>
      </w:pPr>
      <w:r>
        <w:t>Age of patient</w:t>
      </w:r>
      <w:r w:rsidR="00846476">
        <w:t xml:space="preserve">: reactive, non-malignant causes more common in younger patients. </w:t>
      </w:r>
    </w:p>
    <w:p w:rsidR="00846476" w:rsidRDefault="00846476" w:rsidP="007B1F34">
      <w:pPr>
        <w:pStyle w:val="ListParagraph"/>
        <w:numPr>
          <w:ilvl w:val="0"/>
          <w:numId w:val="13"/>
        </w:numPr>
        <w:spacing w:after="0" w:line="240" w:lineRule="auto"/>
      </w:pPr>
      <w:r>
        <w:t xml:space="preserve">Symptoms of infection: these </w:t>
      </w:r>
      <w:bookmarkStart w:id="0" w:name="_GoBack"/>
      <w:bookmarkEnd w:id="0"/>
      <w:r w:rsidR="005730AA">
        <w:t>include pharyngitis</w:t>
      </w:r>
      <w:r>
        <w:t>, conjunctivitis</w:t>
      </w:r>
      <w:r w:rsidR="00C471BD">
        <w:t>, skin ulceration, localised tenderness, genital sores or discharge.</w:t>
      </w:r>
    </w:p>
    <w:p w:rsidR="00C471BD" w:rsidRDefault="00C471BD" w:rsidP="00C471BD">
      <w:pPr>
        <w:pStyle w:val="ListParagraph"/>
        <w:numPr>
          <w:ilvl w:val="0"/>
          <w:numId w:val="13"/>
        </w:numPr>
        <w:spacing w:after="0" w:line="240" w:lineRule="auto"/>
      </w:pPr>
      <w:r>
        <w:t>Symptoms of metastatic malignancy e.g. cough and haemoptysis (lung cancer), weight loss.</w:t>
      </w:r>
    </w:p>
    <w:p w:rsidR="00C471BD" w:rsidRDefault="00C471BD" w:rsidP="00C471BD">
      <w:pPr>
        <w:pStyle w:val="ListParagraph"/>
        <w:numPr>
          <w:ilvl w:val="0"/>
          <w:numId w:val="13"/>
        </w:numPr>
        <w:spacing w:after="0" w:line="240" w:lineRule="auto"/>
      </w:pPr>
      <w:r>
        <w:t>Social history: exposure to pets, occupational exposures, travel history and sexual history may suggest specific disorders.</w:t>
      </w:r>
    </w:p>
    <w:p w:rsidR="00C471BD" w:rsidRDefault="00C471BD" w:rsidP="00C471BD">
      <w:pPr>
        <w:pStyle w:val="ListParagraph"/>
        <w:numPr>
          <w:ilvl w:val="0"/>
          <w:numId w:val="13"/>
        </w:numPr>
        <w:spacing w:after="0" w:line="240" w:lineRule="auto"/>
      </w:pPr>
      <w:r>
        <w:t xml:space="preserve">Duration of lymphadenopathy: persistent lymphadenopathy (more than 4 weeks) is </w:t>
      </w:r>
      <w:proofErr w:type="gramStart"/>
      <w:r>
        <w:t>indicative</w:t>
      </w:r>
      <w:proofErr w:type="gramEnd"/>
      <w:r>
        <w:t xml:space="preserve"> of chronic infection, collagen vascular disease or underlying malignancy. Whereas localised lymphadenopathy of brief duration often accompanies </w:t>
      </w:r>
      <w:r w:rsidR="00F47EF7">
        <w:t>some infections (e.g. infectious mononucleosis).</w:t>
      </w:r>
    </w:p>
    <w:p w:rsidR="00F47EF7" w:rsidRPr="007B1F34" w:rsidRDefault="00F47EF7" w:rsidP="00F47EF7">
      <w:pPr>
        <w:pStyle w:val="ListParagraph"/>
        <w:spacing w:after="0" w:line="240" w:lineRule="auto"/>
      </w:pPr>
    </w:p>
    <w:p w:rsidR="007B1F34" w:rsidRPr="00E97AE3" w:rsidRDefault="00277230" w:rsidP="007B1F34">
      <w:pPr>
        <w:rPr>
          <w:b/>
          <w:sz w:val="28"/>
          <w:szCs w:val="28"/>
        </w:rPr>
      </w:pPr>
      <w:r>
        <w:rPr>
          <w:b/>
          <w:sz w:val="28"/>
          <w:szCs w:val="28"/>
        </w:rPr>
        <w:t>Sign</w:t>
      </w:r>
      <w:r w:rsidR="007B1F34" w:rsidRPr="00E97AE3">
        <w:rPr>
          <w:b/>
          <w:sz w:val="28"/>
          <w:szCs w:val="28"/>
        </w:rPr>
        <w:t>s</w:t>
      </w:r>
      <w:r>
        <w:rPr>
          <w:b/>
          <w:sz w:val="28"/>
          <w:szCs w:val="28"/>
        </w:rPr>
        <w:t xml:space="preserve">                                                          </w:t>
      </w:r>
    </w:p>
    <w:p w:rsidR="007B1F34" w:rsidRDefault="00F47EF7" w:rsidP="007B1F34">
      <w:r w:rsidRPr="00F47EF7">
        <w:t>The most important physical examination findings are lymph node size, consistency, mobility and distributio</w:t>
      </w:r>
      <w:r>
        <w:t>n:</w:t>
      </w:r>
    </w:p>
    <w:p w:rsidR="00F47EF7" w:rsidRDefault="00F47EF7" w:rsidP="00F47EF7">
      <w:pPr>
        <w:pStyle w:val="ListParagraph"/>
        <w:numPr>
          <w:ilvl w:val="0"/>
          <w:numId w:val="17"/>
        </w:numPr>
      </w:pPr>
      <w:r>
        <w:t xml:space="preserve">Size: lymph node size varies according to their location. As a general rule lymph nodes measuring less than 1cm are rarely of clinical significance. In contrast lymph nodes greater than 2cm </w:t>
      </w:r>
      <w:proofErr w:type="gramStart"/>
      <w:r>
        <w:t>that are</w:t>
      </w:r>
      <w:proofErr w:type="gramEnd"/>
      <w:r>
        <w:t xml:space="preserve"> persistent for more that 6 weeks should be thoroughly evaluated.</w:t>
      </w:r>
    </w:p>
    <w:p w:rsidR="000F413C" w:rsidRDefault="000F413C" w:rsidP="000F413C">
      <w:pPr>
        <w:pStyle w:val="ListParagraph"/>
      </w:pPr>
    </w:p>
    <w:p w:rsidR="000F413C" w:rsidRDefault="000F413C" w:rsidP="000F413C">
      <w:pPr>
        <w:pStyle w:val="ListParagraph"/>
        <w:ind w:left="3600" w:firstLine="720"/>
      </w:pPr>
      <w:r>
        <w:rPr>
          <w:b/>
          <w:noProof/>
          <w:sz w:val="40"/>
          <w:lang w:eastAsia="en-GB"/>
        </w:rPr>
        <w:lastRenderedPageBreak/>
        <w:drawing>
          <wp:inline distT="0" distB="0" distL="0" distR="0" wp14:anchorId="6A6CC459" wp14:editId="69B56764">
            <wp:extent cx="2990850" cy="476250"/>
            <wp:effectExtent l="0" t="0" r="0" b="0"/>
            <wp:docPr id="2" name="Picture 2" descr="Description: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0F413C" w:rsidRDefault="000F413C" w:rsidP="000F413C">
      <w:pPr>
        <w:pStyle w:val="ListParagraph"/>
      </w:pPr>
    </w:p>
    <w:p w:rsidR="00F47EF7" w:rsidRDefault="00F47EF7" w:rsidP="00F47EF7">
      <w:pPr>
        <w:pStyle w:val="ListParagraph"/>
        <w:numPr>
          <w:ilvl w:val="0"/>
          <w:numId w:val="17"/>
        </w:numPr>
      </w:pPr>
      <w:r>
        <w:t>Consistency: in general should not be used to differentiate between benign and malignant causes. However rock-hard nodes are seen more commonly in malignancy, whereas tender nodes often suggest an inflammatory disorder.</w:t>
      </w:r>
    </w:p>
    <w:p w:rsidR="00AC2B58" w:rsidRDefault="00AC2B58" w:rsidP="00F47EF7">
      <w:pPr>
        <w:pStyle w:val="ListParagraph"/>
        <w:numPr>
          <w:ilvl w:val="0"/>
          <w:numId w:val="17"/>
        </w:numPr>
      </w:pPr>
      <w:r>
        <w:t xml:space="preserve">Mobility: </w:t>
      </w:r>
      <w:r w:rsidR="002D4E28">
        <w:t>fixed or matted nodes suggest metastatic carcinoma, whereas freely movable nodes may occur in infections, collagen vascular disease and lymphoma.</w:t>
      </w:r>
    </w:p>
    <w:p w:rsidR="00F47EF7" w:rsidRPr="00F47EF7" w:rsidRDefault="002D4E28" w:rsidP="00F47EF7">
      <w:pPr>
        <w:pStyle w:val="ListParagraph"/>
        <w:numPr>
          <w:ilvl w:val="0"/>
          <w:numId w:val="17"/>
        </w:numPr>
      </w:pPr>
      <w:r>
        <w:t>Distribution: in most cases, generalised lymphadenopathy is a sign of systemic disease, especially when associated with splenomegaly. Inguinal lymph nodes may occasionally be enlarged in healthy individuals, whereas enlarged supraclavicular lymph nodes are concerning for underlying malignancy or infection.</w:t>
      </w:r>
    </w:p>
    <w:p w:rsidR="007B1F34" w:rsidRDefault="007B1F34" w:rsidP="007B1F34">
      <w:pPr>
        <w:rPr>
          <w:b/>
          <w:sz w:val="28"/>
          <w:szCs w:val="28"/>
        </w:rPr>
      </w:pPr>
      <w:r w:rsidRPr="00A222AA">
        <w:rPr>
          <w:b/>
          <w:sz w:val="28"/>
          <w:szCs w:val="28"/>
        </w:rPr>
        <w:t>Investigations</w:t>
      </w:r>
    </w:p>
    <w:tbl>
      <w:tblPr>
        <w:tblStyle w:val="TableGrid"/>
        <w:tblW w:w="0" w:type="auto"/>
        <w:tblLook w:val="04A0" w:firstRow="1" w:lastRow="0" w:firstColumn="1" w:lastColumn="0" w:noHBand="0" w:noVBand="1"/>
      </w:tblPr>
      <w:tblGrid>
        <w:gridCol w:w="4621"/>
        <w:gridCol w:w="4621"/>
      </w:tblGrid>
      <w:tr w:rsidR="007B1F34" w:rsidTr="00CB65C2">
        <w:tc>
          <w:tcPr>
            <w:tcW w:w="4621" w:type="dxa"/>
          </w:tcPr>
          <w:p w:rsidR="007B1F34" w:rsidRDefault="002D4E28" w:rsidP="002D4E28">
            <w:r>
              <w:t xml:space="preserve">Initial </w:t>
            </w:r>
            <w:r w:rsidR="007B1F34" w:rsidRPr="00E56F53">
              <w:t xml:space="preserve">Investigations in primary care </w:t>
            </w:r>
          </w:p>
        </w:tc>
        <w:tc>
          <w:tcPr>
            <w:tcW w:w="4621" w:type="dxa"/>
          </w:tcPr>
          <w:p w:rsidR="007B1F34" w:rsidRDefault="002D4E28" w:rsidP="00CB65C2">
            <w:r>
              <w:t>If further investigation and referral is indicated</w:t>
            </w:r>
            <w:r w:rsidR="00277230">
              <w:t xml:space="preserve"> (please perform in primary care at time of referral)</w:t>
            </w:r>
          </w:p>
        </w:tc>
      </w:tr>
      <w:tr w:rsidR="007B1F34" w:rsidTr="00CB65C2">
        <w:trPr>
          <w:trHeight w:val="277"/>
        </w:trPr>
        <w:tc>
          <w:tcPr>
            <w:tcW w:w="4621" w:type="dxa"/>
          </w:tcPr>
          <w:p w:rsidR="007B1F34" w:rsidRDefault="002D4E28" w:rsidP="00CB65C2">
            <w:r>
              <w:t>Full History</w:t>
            </w:r>
          </w:p>
        </w:tc>
        <w:tc>
          <w:tcPr>
            <w:tcW w:w="4621" w:type="dxa"/>
          </w:tcPr>
          <w:p w:rsidR="007B1F34" w:rsidRDefault="002D4E28" w:rsidP="0029683B">
            <w:r>
              <w:t>Full history including travel, pets, sexual and employment history.</w:t>
            </w:r>
          </w:p>
        </w:tc>
      </w:tr>
      <w:tr w:rsidR="007B1F34" w:rsidTr="00CB65C2">
        <w:tc>
          <w:tcPr>
            <w:tcW w:w="4621" w:type="dxa"/>
          </w:tcPr>
          <w:p w:rsidR="007B1F34" w:rsidRDefault="002D4E28" w:rsidP="00CB65C2">
            <w:r>
              <w:t>Full examination</w:t>
            </w:r>
          </w:p>
        </w:tc>
        <w:tc>
          <w:tcPr>
            <w:tcW w:w="4621" w:type="dxa"/>
          </w:tcPr>
          <w:p w:rsidR="007B1F34" w:rsidRDefault="002D4E28" w:rsidP="00CB65C2">
            <w:r>
              <w:t>Full examination noting spleen size</w:t>
            </w:r>
          </w:p>
        </w:tc>
      </w:tr>
      <w:tr w:rsidR="0012357B" w:rsidTr="00CB65C2">
        <w:tc>
          <w:tcPr>
            <w:tcW w:w="4621" w:type="dxa"/>
            <w:vMerge w:val="restart"/>
          </w:tcPr>
          <w:p w:rsidR="0012357B" w:rsidRDefault="0012357B" w:rsidP="00CB65C2">
            <w:r>
              <w:t>Other investigations may not be required at this stage if a likely cause has been established e.g. viral illness.</w:t>
            </w:r>
          </w:p>
        </w:tc>
        <w:tc>
          <w:tcPr>
            <w:tcW w:w="4621" w:type="dxa"/>
          </w:tcPr>
          <w:p w:rsidR="0012357B" w:rsidRDefault="0012357B" w:rsidP="00CB65C2">
            <w:r>
              <w:t>FBC, CRP, U+E, LFT, calcium, protein electrophoresis</w:t>
            </w:r>
          </w:p>
        </w:tc>
      </w:tr>
      <w:tr w:rsidR="0012357B" w:rsidTr="00CB65C2">
        <w:tc>
          <w:tcPr>
            <w:tcW w:w="4621" w:type="dxa"/>
            <w:vMerge/>
          </w:tcPr>
          <w:p w:rsidR="0012357B" w:rsidRDefault="0012357B" w:rsidP="00CB65C2"/>
        </w:tc>
        <w:tc>
          <w:tcPr>
            <w:tcW w:w="4621" w:type="dxa"/>
          </w:tcPr>
          <w:p w:rsidR="0012357B" w:rsidRDefault="0012357B" w:rsidP="00CB65C2">
            <w:r>
              <w:t>HIV, hepatitis B and C, CMV, EBV, toxoplasma</w:t>
            </w:r>
          </w:p>
        </w:tc>
      </w:tr>
    </w:tbl>
    <w:p w:rsidR="007B1F34" w:rsidRDefault="007B1F34" w:rsidP="007B1F34"/>
    <w:p w:rsidR="007B1F34" w:rsidRPr="002A2514" w:rsidRDefault="007B1F34" w:rsidP="007B1F34">
      <w:pPr>
        <w:rPr>
          <w:b/>
          <w:sz w:val="28"/>
          <w:szCs w:val="28"/>
        </w:rPr>
      </w:pPr>
      <w:r w:rsidRPr="002A2514">
        <w:rPr>
          <w:b/>
          <w:sz w:val="28"/>
          <w:szCs w:val="28"/>
        </w:rPr>
        <w:t>Referral</w:t>
      </w:r>
    </w:p>
    <w:p w:rsidR="00277230" w:rsidRDefault="00277230" w:rsidP="008435DE">
      <w:pPr>
        <w:rPr>
          <w:b/>
          <w:u w:val="single"/>
        </w:rPr>
      </w:pPr>
      <w:r>
        <w:rPr>
          <w:b/>
          <w:u w:val="single"/>
        </w:rPr>
        <w:t>Urgent referral</w:t>
      </w:r>
    </w:p>
    <w:p w:rsidR="00277230" w:rsidRDefault="008435DE" w:rsidP="008435DE">
      <w:pPr>
        <w:pStyle w:val="ListParagraph"/>
        <w:numPr>
          <w:ilvl w:val="0"/>
          <w:numId w:val="18"/>
        </w:numPr>
      </w:pPr>
      <w:r>
        <w:t>Lymphadenopathy &gt; 2cm persisting for a period of &gt; 6 weeks with no obvious infective cause</w:t>
      </w:r>
    </w:p>
    <w:p w:rsidR="00277230" w:rsidRDefault="008435DE" w:rsidP="008435DE">
      <w:pPr>
        <w:pStyle w:val="ListParagraph"/>
        <w:numPr>
          <w:ilvl w:val="0"/>
          <w:numId w:val="18"/>
        </w:numPr>
      </w:pPr>
      <w:r>
        <w:t>Progressively worsening adenopathy without any cause</w:t>
      </w:r>
    </w:p>
    <w:p w:rsidR="008435DE" w:rsidRDefault="008435DE" w:rsidP="008435DE">
      <w:pPr>
        <w:pStyle w:val="ListParagraph"/>
        <w:numPr>
          <w:ilvl w:val="0"/>
          <w:numId w:val="18"/>
        </w:numPr>
      </w:pPr>
      <w:r>
        <w:t>L</w:t>
      </w:r>
      <w:r w:rsidR="00277230">
        <w:t xml:space="preserve">ymphadenopathy for &lt; 6 weeks if any of the following: </w:t>
      </w:r>
      <w:r>
        <w:t>Progressively worsening adenopathy without obvious cause found</w:t>
      </w:r>
      <w:r w:rsidR="00277230">
        <w:t xml:space="preserve">. </w:t>
      </w:r>
      <w:r>
        <w:t>B symptoms</w:t>
      </w:r>
      <w:r w:rsidR="00277230">
        <w:t xml:space="preserve">. </w:t>
      </w:r>
      <w:r>
        <w:t>Enlargement of liver/spleen</w:t>
      </w:r>
      <w:r w:rsidR="00277230">
        <w:t xml:space="preserve">. </w:t>
      </w:r>
      <w:r>
        <w:t>Global adenopathy without a cause</w:t>
      </w:r>
      <w:r w:rsidR="00277230">
        <w:t xml:space="preserve">. </w:t>
      </w:r>
      <w:proofErr w:type="spellStart"/>
      <w:proofErr w:type="gramStart"/>
      <w:r>
        <w:t>Cytopenias</w:t>
      </w:r>
      <w:proofErr w:type="spellEnd"/>
      <w:r>
        <w:t xml:space="preserve"> </w:t>
      </w:r>
      <w:r w:rsidR="00277230">
        <w:t>.</w:t>
      </w:r>
      <w:proofErr w:type="gramEnd"/>
      <w:r w:rsidR="00277230">
        <w:t xml:space="preserve"> </w:t>
      </w:r>
      <w:r>
        <w:t>Hypercalcaemia</w:t>
      </w:r>
      <w:r w:rsidR="00277230">
        <w:t>.</w:t>
      </w:r>
    </w:p>
    <w:p w:rsidR="0012357B" w:rsidRDefault="0012357B" w:rsidP="008435DE">
      <w:pPr>
        <w:pStyle w:val="ListParagraph"/>
        <w:numPr>
          <w:ilvl w:val="0"/>
          <w:numId w:val="18"/>
        </w:numPr>
      </w:pPr>
      <w:r>
        <w:t>Cervical lymphadenopathy: consider ENT referral at the same time to speed up diagnosis</w:t>
      </w:r>
    </w:p>
    <w:p w:rsidR="0012357B" w:rsidRDefault="0012357B" w:rsidP="008435DE">
      <w:pPr>
        <w:pStyle w:val="ListParagraph"/>
        <w:numPr>
          <w:ilvl w:val="0"/>
          <w:numId w:val="18"/>
        </w:numPr>
      </w:pPr>
      <w:r>
        <w:t>Axillary lymphadenopathy: consider breast referral to speed u p diagnostic pathway</w:t>
      </w:r>
    </w:p>
    <w:p w:rsidR="0012357B" w:rsidRDefault="0012357B" w:rsidP="008435DE">
      <w:pPr>
        <w:pStyle w:val="ListParagraph"/>
        <w:numPr>
          <w:ilvl w:val="0"/>
          <w:numId w:val="18"/>
        </w:numPr>
      </w:pPr>
      <w:r>
        <w:t>Inguinal or generalised lymphadenopathy: haematology referral only.</w:t>
      </w:r>
    </w:p>
    <w:p w:rsidR="004075A2" w:rsidRDefault="004075A2" w:rsidP="004075A2">
      <w:pPr>
        <w:rPr>
          <w:b/>
          <w:sz w:val="28"/>
          <w:szCs w:val="28"/>
        </w:rPr>
      </w:pPr>
      <w:r>
        <w:rPr>
          <w:b/>
          <w:sz w:val="28"/>
          <w:szCs w:val="28"/>
        </w:rPr>
        <w:t>References</w:t>
      </w:r>
    </w:p>
    <w:p w:rsidR="0012357B" w:rsidRDefault="0012357B" w:rsidP="008435DE">
      <w:pPr>
        <w:pStyle w:val="ListParagraph"/>
        <w:numPr>
          <w:ilvl w:val="0"/>
          <w:numId w:val="19"/>
        </w:numPr>
        <w:rPr>
          <w:sz w:val="18"/>
          <w:szCs w:val="18"/>
        </w:rPr>
      </w:pPr>
      <w:r w:rsidRPr="0012357B">
        <w:rPr>
          <w:sz w:val="18"/>
          <w:szCs w:val="18"/>
        </w:rPr>
        <w:t xml:space="preserve">National </w:t>
      </w:r>
      <w:proofErr w:type="spellStart"/>
      <w:r w:rsidRPr="0012357B">
        <w:rPr>
          <w:sz w:val="18"/>
          <w:szCs w:val="18"/>
        </w:rPr>
        <w:t>Collabatory</w:t>
      </w:r>
      <w:proofErr w:type="spellEnd"/>
      <w:r w:rsidRPr="0012357B">
        <w:rPr>
          <w:sz w:val="18"/>
          <w:szCs w:val="18"/>
        </w:rPr>
        <w:t xml:space="preserve"> centre for cancer (2015). Suspected cancer: recognition and referral. Full guidelines June 2015. National Institute for Health and Care Excellence</w:t>
      </w:r>
      <w:r>
        <w:rPr>
          <w:sz w:val="18"/>
          <w:szCs w:val="18"/>
        </w:rPr>
        <w:t>.</w:t>
      </w:r>
    </w:p>
    <w:p w:rsidR="0012357B" w:rsidRPr="0012357B" w:rsidRDefault="0012357B" w:rsidP="008435DE">
      <w:pPr>
        <w:pStyle w:val="ListParagraph"/>
        <w:numPr>
          <w:ilvl w:val="0"/>
          <w:numId w:val="19"/>
        </w:numPr>
        <w:rPr>
          <w:sz w:val="18"/>
          <w:szCs w:val="18"/>
        </w:rPr>
      </w:pPr>
      <w:r w:rsidRPr="0012357B">
        <w:rPr>
          <w:sz w:val="18"/>
          <w:szCs w:val="18"/>
        </w:rPr>
        <w:t>Royal United Hospitals Bath, Clinical Haematology guidelines: Referral pathway for patients with lymphadenopathy.</w:t>
      </w:r>
    </w:p>
    <w:p w:rsidR="00F82594" w:rsidRPr="006658FF" w:rsidRDefault="00F82594" w:rsidP="007852CF">
      <w:pPr>
        <w:rPr>
          <w:b/>
          <w:u w:val="single"/>
        </w:rPr>
      </w:pPr>
    </w:p>
    <w:sectPr w:rsidR="00F82594" w:rsidRPr="006658FF" w:rsidSect="00383002">
      <w:footerReference w:type="default" r:id="rId10"/>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FEC" w:rsidRDefault="00337FEC" w:rsidP="006658FF">
      <w:pPr>
        <w:spacing w:after="0" w:line="240" w:lineRule="auto"/>
      </w:pPr>
      <w:r>
        <w:separator/>
      </w:r>
    </w:p>
  </w:endnote>
  <w:endnote w:type="continuationSeparator" w:id="0">
    <w:p w:rsidR="00337FEC" w:rsidRDefault="00337FEC" w:rsidP="00665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02" w:rsidRPr="00383002" w:rsidRDefault="00383002">
    <w:pPr>
      <w:pStyle w:val="Footer"/>
      <w:rPr>
        <w:sz w:val="18"/>
        <w:szCs w:val="18"/>
      </w:rPr>
    </w:pPr>
    <w:r w:rsidRPr="00383002">
      <w:rPr>
        <w:sz w:val="18"/>
        <w:szCs w:val="18"/>
      </w:rPr>
      <w:t>Lymphadenopathy guidance. Author: Noel Ryman. Version 1. Approved on: 01 March 2018. Review date: 01 March 2021</w:t>
    </w:r>
    <w:r w:rsidRPr="00383002">
      <w:rPr>
        <w:sz w:val="18"/>
        <w:szCs w:val="18"/>
      </w:rPr>
      <w:tab/>
    </w:r>
    <w:r w:rsidRPr="00383002">
      <w:rPr>
        <w:sz w:val="18"/>
        <w:szCs w:val="18"/>
      </w:rPr>
      <w:tab/>
    </w:r>
    <w:r w:rsidRPr="00383002">
      <w:rPr>
        <w:sz w:val="18"/>
        <w:szCs w:val="18"/>
      </w:rPr>
      <w:tab/>
    </w:r>
    <w:r w:rsidRPr="00383002">
      <w:rPr>
        <w:sz w:val="18"/>
        <w:szCs w:val="18"/>
      </w:rPr>
      <w:tab/>
    </w:r>
    <w:r w:rsidRPr="00383002">
      <w:rPr>
        <w:sz w:val="18"/>
        <w:szCs w:val="18"/>
      </w:rPr>
      <w:tab/>
    </w:r>
    <w:r w:rsidRPr="00383002">
      <w:rPr>
        <w:sz w:val="18"/>
        <w:szCs w:val="18"/>
      </w:rPr>
      <w:tab/>
    </w:r>
    <w:r w:rsidRPr="00383002">
      <w:rPr>
        <w:sz w:val="18"/>
        <w:szCs w:val="18"/>
      </w:rPr>
      <w:tab/>
    </w:r>
  </w:p>
  <w:p w:rsidR="00383002" w:rsidRDefault="00383002">
    <w:pPr>
      <w:pStyle w:val="Footer"/>
    </w:pPr>
    <w:r>
      <w:ptab w:relativeTo="margin" w:alignment="right" w:leader="none"/>
    </w:r>
    <w:r>
      <w:tab/>
    </w:r>
    <w:r>
      <w:tab/>
    </w:r>
  </w:p>
  <w:p w:rsidR="00383002" w:rsidRDefault="003830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FEC" w:rsidRDefault="00337FEC" w:rsidP="006658FF">
      <w:pPr>
        <w:spacing w:after="0" w:line="240" w:lineRule="auto"/>
      </w:pPr>
      <w:r>
        <w:separator/>
      </w:r>
    </w:p>
  </w:footnote>
  <w:footnote w:type="continuationSeparator" w:id="0">
    <w:p w:rsidR="00337FEC" w:rsidRDefault="00337FEC" w:rsidP="00665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8D9"/>
    <w:multiLevelType w:val="hybridMultilevel"/>
    <w:tmpl w:val="7FB23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C1494"/>
    <w:multiLevelType w:val="hybridMultilevel"/>
    <w:tmpl w:val="4E70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B26625"/>
    <w:multiLevelType w:val="hybridMultilevel"/>
    <w:tmpl w:val="DB34F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B64E17"/>
    <w:multiLevelType w:val="hybridMultilevel"/>
    <w:tmpl w:val="381C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B46255"/>
    <w:multiLevelType w:val="hybridMultilevel"/>
    <w:tmpl w:val="647668F0"/>
    <w:lvl w:ilvl="0" w:tplc="EF703D76">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D1B5919"/>
    <w:multiLevelType w:val="hybridMultilevel"/>
    <w:tmpl w:val="83BEAC40"/>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6">
    <w:nsid w:val="27063F93"/>
    <w:multiLevelType w:val="hybridMultilevel"/>
    <w:tmpl w:val="626E9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DF24FD"/>
    <w:multiLevelType w:val="hybridMultilevel"/>
    <w:tmpl w:val="87BCD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E360C5"/>
    <w:multiLevelType w:val="hybridMultilevel"/>
    <w:tmpl w:val="C772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A9108B5"/>
    <w:multiLevelType w:val="hybridMultilevel"/>
    <w:tmpl w:val="83FC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CD37F4"/>
    <w:multiLevelType w:val="hybridMultilevel"/>
    <w:tmpl w:val="67F6B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D43609"/>
    <w:multiLevelType w:val="hybridMultilevel"/>
    <w:tmpl w:val="C0F89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480876"/>
    <w:multiLevelType w:val="hybridMultilevel"/>
    <w:tmpl w:val="CADAA1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BD09A1"/>
    <w:multiLevelType w:val="hybridMultilevel"/>
    <w:tmpl w:val="C1CA0EF2"/>
    <w:lvl w:ilvl="0" w:tplc="9CE483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FFF2BFD"/>
    <w:multiLevelType w:val="hybridMultilevel"/>
    <w:tmpl w:val="103AD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B16CAE"/>
    <w:multiLevelType w:val="hybridMultilevel"/>
    <w:tmpl w:val="2954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F91B41"/>
    <w:multiLevelType w:val="hybridMultilevel"/>
    <w:tmpl w:val="5A2A65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61520B6"/>
    <w:multiLevelType w:val="hybridMultilevel"/>
    <w:tmpl w:val="23607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9065A0E"/>
    <w:multiLevelType w:val="hybridMultilevel"/>
    <w:tmpl w:val="3A0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16"/>
  </w:num>
  <w:num w:numId="5">
    <w:abstractNumId w:val="4"/>
  </w:num>
  <w:num w:numId="6">
    <w:abstractNumId w:val="11"/>
  </w:num>
  <w:num w:numId="7">
    <w:abstractNumId w:val="13"/>
  </w:num>
  <w:num w:numId="8">
    <w:abstractNumId w:val="6"/>
  </w:num>
  <w:num w:numId="9">
    <w:abstractNumId w:val="15"/>
  </w:num>
  <w:num w:numId="10">
    <w:abstractNumId w:val="9"/>
  </w:num>
  <w:num w:numId="11">
    <w:abstractNumId w:val="18"/>
  </w:num>
  <w:num w:numId="12">
    <w:abstractNumId w:val="5"/>
  </w:num>
  <w:num w:numId="13">
    <w:abstractNumId w:val="1"/>
  </w:num>
  <w:num w:numId="14">
    <w:abstractNumId w:val="17"/>
  </w:num>
  <w:num w:numId="15">
    <w:abstractNumId w:val="3"/>
  </w:num>
  <w:num w:numId="16">
    <w:abstractNumId w:val="7"/>
  </w:num>
  <w:num w:numId="17">
    <w:abstractNumId w:val="0"/>
  </w:num>
  <w:num w:numId="18">
    <w:abstractNumId w:val="2"/>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727"/>
    <w:rsid w:val="0004394B"/>
    <w:rsid w:val="000F413C"/>
    <w:rsid w:val="0012357B"/>
    <w:rsid w:val="00131E61"/>
    <w:rsid w:val="00163A1B"/>
    <w:rsid w:val="001A5BAE"/>
    <w:rsid w:val="00277230"/>
    <w:rsid w:val="0029683B"/>
    <w:rsid w:val="002A2514"/>
    <w:rsid w:val="002D4A76"/>
    <w:rsid w:val="002D4E28"/>
    <w:rsid w:val="00336654"/>
    <w:rsid w:val="00337FEC"/>
    <w:rsid w:val="00342448"/>
    <w:rsid w:val="0035143B"/>
    <w:rsid w:val="003531DC"/>
    <w:rsid w:val="00383002"/>
    <w:rsid w:val="003C01EF"/>
    <w:rsid w:val="003F67A5"/>
    <w:rsid w:val="004075A2"/>
    <w:rsid w:val="00445EDF"/>
    <w:rsid w:val="004757A9"/>
    <w:rsid w:val="004D69DE"/>
    <w:rsid w:val="00523785"/>
    <w:rsid w:val="00553515"/>
    <w:rsid w:val="005730AA"/>
    <w:rsid w:val="005A3A51"/>
    <w:rsid w:val="005D342C"/>
    <w:rsid w:val="006008EA"/>
    <w:rsid w:val="00604591"/>
    <w:rsid w:val="006658FF"/>
    <w:rsid w:val="006E4CF4"/>
    <w:rsid w:val="006E68F1"/>
    <w:rsid w:val="006E6DF5"/>
    <w:rsid w:val="00716348"/>
    <w:rsid w:val="00724157"/>
    <w:rsid w:val="007852CF"/>
    <w:rsid w:val="007B1F34"/>
    <w:rsid w:val="007B666A"/>
    <w:rsid w:val="007D36B5"/>
    <w:rsid w:val="00801D60"/>
    <w:rsid w:val="00832185"/>
    <w:rsid w:val="008435DE"/>
    <w:rsid w:val="00846476"/>
    <w:rsid w:val="00864BD3"/>
    <w:rsid w:val="00874202"/>
    <w:rsid w:val="00896CA2"/>
    <w:rsid w:val="00937D96"/>
    <w:rsid w:val="00A05727"/>
    <w:rsid w:val="00A222AA"/>
    <w:rsid w:val="00A40D92"/>
    <w:rsid w:val="00A6021A"/>
    <w:rsid w:val="00A95F47"/>
    <w:rsid w:val="00AC2B58"/>
    <w:rsid w:val="00AC2D9A"/>
    <w:rsid w:val="00B22A75"/>
    <w:rsid w:val="00B32C45"/>
    <w:rsid w:val="00B53E0F"/>
    <w:rsid w:val="00C471BD"/>
    <w:rsid w:val="00C676B2"/>
    <w:rsid w:val="00CA295B"/>
    <w:rsid w:val="00D00AA1"/>
    <w:rsid w:val="00D01426"/>
    <w:rsid w:val="00D85FEF"/>
    <w:rsid w:val="00DF5D0A"/>
    <w:rsid w:val="00E56F53"/>
    <w:rsid w:val="00E97AE3"/>
    <w:rsid w:val="00F47EF7"/>
    <w:rsid w:val="00F82594"/>
    <w:rsid w:val="00FB5312"/>
    <w:rsid w:val="00FB6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34"/>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27"/>
    <w:rPr>
      <w:rFonts w:ascii="Tahoma" w:hAnsi="Tahoma" w:cs="Tahoma"/>
      <w:sz w:val="16"/>
      <w:szCs w:val="16"/>
    </w:rPr>
  </w:style>
  <w:style w:type="paragraph" w:styleId="ListParagraph">
    <w:name w:val="List Paragraph"/>
    <w:basedOn w:val="Normal"/>
    <w:uiPriority w:val="34"/>
    <w:qFormat/>
    <w:rsid w:val="00716348"/>
    <w:pPr>
      <w:ind w:left="720"/>
      <w:contextualSpacing/>
    </w:pPr>
  </w:style>
  <w:style w:type="table" w:styleId="TableGrid">
    <w:name w:val="Table Grid"/>
    <w:basedOn w:val="TableNormal"/>
    <w:uiPriority w:val="59"/>
    <w:rsid w:val="00523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5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8FF"/>
  </w:style>
  <w:style w:type="paragraph" w:styleId="Footer">
    <w:name w:val="footer"/>
    <w:basedOn w:val="Normal"/>
    <w:link w:val="FooterChar"/>
    <w:uiPriority w:val="99"/>
    <w:unhideWhenUsed/>
    <w:rsid w:val="00665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77890">
      <w:bodyDiv w:val="1"/>
      <w:marLeft w:val="0"/>
      <w:marRight w:val="0"/>
      <w:marTop w:val="0"/>
      <w:marBottom w:val="0"/>
      <w:divBdr>
        <w:top w:val="none" w:sz="0" w:space="0" w:color="auto"/>
        <w:left w:val="none" w:sz="0" w:space="0" w:color="auto"/>
        <w:bottom w:val="none" w:sz="0" w:space="0" w:color="auto"/>
        <w:right w:val="none" w:sz="0" w:space="0" w:color="auto"/>
      </w:divBdr>
    </w:div>
    <w:div w:id="21362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D7B0A-92F3-4CBE-9135-F86BDE7CF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HHFT</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Hudson, Roger</dc:creator>
  <cp:lastModifiedBy>user</cp:lastModifiedBy>
  <cp:revision>3</cp:revision>
  <dcterms:created xsi:type="dcterms:W3CDTF">2018-02-28T08:41:00Z</dcterms:created>
  <dcterms:modified xsi:type="dcterms:W3CDTF">2018-04-17T09:10:00Z</dcterms:modified>
</cp:coreProperties>
</file>