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165960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Eosinophilia</w:t>
      </w:r>
    </w:p>
    <w:p w:rsidR="003F67A5" w:rsidRDefault="003F67A5" w:rsidP="003F67A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A6021A" w:rsidRDefault="003F67A5" w:rsidP="003F67A5">
      <w:pPr>
        <w:rPr>
          <w:u w:val="single"/>
        </w:rPr>
      </w:pPr>
      <w:r>
        <w:rPr>
          <w:u w:val="single"/>
        </w:rPr>
        <w:t>Definition</w:t>
      </w:r>
    </w:p>
    <w:p w:rsidR="00165960" w:rsidRPr="00165960" w:rsidRDefault="00165960" w:rsidP="00165960">
      <w:r w:rsidRPr="00165960">
        <w:t>An eosinophil count &gt;0.4 x10</w:t>
      </w:r>
      <w:r w:rsidRPr="00165960">
        <w:rPr>
          <w:vertAlign w:val="superscript"/>
        </w:rPr>
        <w:t>9</w:t>
      </w:r>
      <w:r w:rsidR="00367893">
        <w:t xml:space="preserve"> /L. </w:t>
      </w:r>
      <w:r w:rsidRPr="00165960">
        <w:t>Eosinophilia can be divided into mild (0.4- 1.5 x10</w:t>
      </w:r>
      <w:r w:rsidRPr="00165960">
        <w:rPr>
          <w:vertAlign w:val="superscript"/>
        </w:rPr>
        <w:t>9</w:t>
      </w:r>
      <w:r w:rsidRPr="00165960">
        <w:t xml:space="preserve"> /L), moderate (1.5 - 5 x10</w:t>
      </w:r>
      <w:r w:rsidRPr="00165960">
        <w:rPr>
          <w:vertAlign w:val="superscript"/>
        </w:rPr>
        <w:t>9</w:t>
      </w:r>
      <w:r w:rsidRPr="00165960">
        <w:t xml:space="preserve"> /L) or severe &gt;5 x10</w:t>
      </w:r>
      <w:r w:rsidRPr="00165960">
        <w:rPr>
          <w:vertAlign w:val="superscript"/>
        </w:rPr>
        <w:t>9</w:t>
      </w:r>
      <w:r w:rsidRPr="00165960">
        <w:t>/L.</w:t>
      </w:r>
    </w:p>
    <w:p w:rsidR="003F67A5" w:rsidRPr="003F67A5" w:rsidRDefault="003F67A5" w:rsidP="007852CF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165960" w:rsidRPr="00165960" w:rsidRDefault="00165960" w:rsidP="00165960">
      <w:r w:rsidRPr="00165960">
        <w:t>Worldwide, the most common cause of eosinophilia is parasitic infestation and this remains an important cause of eosinophilia in Europe.</w:t>
      </w:r>
      <w:r w:rsidR="00367893">
        <w:t xml:space="preserve"> </w:t>
      </w:r>
      <w:r w:rsidRPr="00165960">
        <w:t xml:space="preserve">The 4 most common causes of an eosinophilia documented in an Italian series of nearly 2000 patients </w:t>
      </w:r>
      <w:hyperlink r:id="rId10" w:anchor="reference2" w:history="1">
        <w:r w:rsidRPr="00165960">
          <w:rPr>
            <w:rStyle w:val="Hyperlink"/>
            <w:u w:val="none"/>
            <w:vertAlign w:val="superscript"/>
          </w:rPr>
          <w:t>[2]</w:t>
        </w:r>
      </w:hyperlink>
      <w:r w:rsidR="00367893">
        <w:t xml:space="preserve"> were </w:t>
      </w:r>
      <w:r w:rsidRPr="00165960">
        <w:t>atopy including asthma 79.7</w:t>
      </w:r>
      <w:r w:rsidR="00367893">
        <w:t xml:space="preserve">%, </w:t>
      </w:r>
      <w:r w:rsidRPr="00165960">
        <w:t>parasites 8.2%</w:t>
      </w:r>
      <w:r w:rsidR="00367893">
        <w:t xml:space="preserve">, </w:t>
      </w:r>
      <w:r w:rsidRPr="00165960">
        <w:t>haematological neoplasm 2.4%</w:t>
      </w:r>
      <w:r w:rsidR="00367893">
        <w:t xml:space="preserve"> and </w:t>
      </w:r>
      <w:r w:rsidRPr="00165960">
        <w:t>allergic / atopic skin disease 2.1%</w:t>
      </w:r>
      <w:r w:rsidR="00367893">
        <w:t>.</w:t>
      </w:r>
      <w:r w:rsidR="008D2EE2">
        <w:t xml:space="preserve"> A</w:t>
      </w:r>
      <w:r w:rsidRPr="00165960">
        <w:t xml:space="preserve">n adequate travel history is </w:t>
      </w:r>
      <w:r w:rsidR="008D2EE2">
        <w:t xml:space="preserve">essential </w:t>
      </w:r>
      <w:r w:rsidR="00367893">
        <w:t>as f</w:t>
      </w:r>
      <w:r w:rsidRPr="00165960">
        <w:t>ailure to diagnose these infections can</w:t>
      </w:r>
      <w:r w:rsidR="00367893">
        <w:t xml:space="preserve"> have significant consequences. </w:t>
      </w:r>
    </w:p>
    <w:p w:rsidR="00131E61" w:rsidRPr="00131E61" w:rsidRDefault="00131E61" w:rsidP="00131E61">
      <w:pPr>
        <w:rPr>
          <w:b/>
          <w:sz w:val="28"/>
          <w:szCs w:val="28"/>
        </w:rPr>
      </w:pPr>
      <w:r w:rsidRPr="00131E61">
        <w:rPr>
          <w:b/>
          <w:sz w:val="28"/>
          <w:szCs w:val="28"/>
        </w:rPr>
        <w:t>Causes</w:t>
      </w:r>
    </w:p>
    <w:p w:rsidR="00165960" w:rsidRPr="00165960" w:rsidRDefault="00165960" w:rsidP="00165960">
      <w:r w:rsidRPr="00165960">
        <w:t xml:space="preserve">These can be divided into primary, reactive (secondary) and </w:t>
      </w:r>
      <w:proofErr w:type="spellStart"/>
      <w:r w:rsidRPr="00165960">
        <w:t>hypereosinophilic</w:t>
      </w:r>
      <w:proofErr w:type="spellEnd"/>
      <w:r w:rsidRPr="00165960">
        <w:t xml:space="preserve"> syndrome.</w:t>
      </w:r>
      <w:r w:rsidR="008D2EE2" w:rsidRPr="0016596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31E61" w:rsidTr="00553515">
        <w:tc>
          <w:tcPr>
            <w:tcW w:w="2802" w:type="dxa"/>
          </w:tcPr>
          <w:p w:rsidR="00131E61" w:rsidRDefault="00165960" w:rsidP="007852CF">
            <w:r>
              <w:t>Primary causes (rare)</w:t>
            </w:r>
          </w:p>
        </w:tc>
        <w:tc>
          <w:tcPr>
            <w:tcW w:w="6440" w:type="dxa"/>
          </w:tcPr>
          <w:p w:rsidR="0007177E" w:rsidRDefault="00584401" w:rsidP="0007177E">
            <w:pPr>
              <w:pStyle w:val="ListParagraph"/>
              <w:numPr>
                <w:ilvl w:val="0"/>
                <w:numId w:val="18"/>
              </w:numPr>
            </w:pPr>
            <w:r>
              <w:t>M</w:t>
            </w:r>
            <w:r w:rsidR="00165960" w:rsidRPr="00165960">
              <w:t xml:space="preserve">yeloproliferative disorders (polycythaemia </w:t>
            </w:r>
            <w:proofErr w:type="spellStart"/>
            <w:proofErr w:type="gramStart"/>
            <w:r w:rsidR="00165960" w:rsidRPr="00165960">
              <w:t>vera</w:t>
            </w:r>
            <w:proofErr w:type="spellEnd"/>
            <w:proofErr w:type="gramEnd"/>
            <w:r w:rsidR="00165960" w:rsidRPr="00165960">
              <w:t xml:space="preserve">, essential </w:t>
            </w:r>
            <w:proofErr w:type="spellStart"/>
            <w:r w:rsidR="00165960" w:rsidRPr="00165960">
              <w:t>thrombocythaemia</w:t>
            </w:r>
            <w:proofErr w:type="spellEnd"/>
            <w:r w:rsidR="00165960" w:rsidRPr="00165960">
              <w:t xml:space="preserve"> &amp; idiopathic myelofibrosis), chronic myeloid leukaemia, acute or chronic eosinophilic leukaemia and systemic</w:t>
            </w:r>
            <w:r w:rsidR="0007177E">
              <w:t xml:space="preserve"> </w:t>
            </w:r>
            <w:proofErr w:type="spellStart"/>
            <w:r w:rsidR="0007177E">
              <w:t>mastocytosis</w:t>
            </w:r>
            <w:proofErr w:type="spellEnd"/>
            <w:r w:rsidR="0007177E">
              <w:t>.</w:t>
            </w:r>
          </w:p>
          <w:p w:rsidR="00131E61" w:rsidRDefault="0007177E" w:rsidP="0007177E">
            <w:pPr>
              <w:pStyle w:val="ListParagraph"/>
              <w:numPr>
                <w:ilvl w:val="0"/>
                <w:numId w:val="18"/>
              </w:numPr>
            </w:pPr>
            <w:r>
              <w:t>M</w:t>
            </w:r>
            <w:r w:rsidR="00165960" w:rsidRPr="00165960">
              <w:t>ay also be present in association with Hodgkin's lymphoma and T-cell lymphoma.</w:t>
            </w:r>
          </w:p>
        </w:tc>
      </w:tr>
      <w:tr w:rsidR="00131E61" w:rsidTr="00553515">
        <w:tc>
          <w:tcPr>
            <w:tcW w:w="2802" w:type="dxa"/>
          </w:tcPr>
          <w:p w:rsidR="00131E61" w:rsidRDefault="00165960" w:rsidP="007852CF">
            <w:r>
              <w:t>Secondary causes</w:t>
            </w:r>
          </w:p>
        </w:tc>
        <w:tc>
          <w:tcPr>
            <w:tcW w:w="6440" w:type="dxa"/>
          </w:tcPr>
          <w:p w:rsidR="0007177E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>Infections:</w:t>
            </w:r>
            <w:r w:rsidR="00165960" w:rsidRPr="00165960">
              <w:t xml:space="preserve"> especially those due to parasites (most commonly </w:t>
            </w:r>
            <w:proofErr w:type="spellStart"/>
            <w:r w:rsidR="00165960" w:rsidRPr="00165960">
              <w:t>helminthes</w:t>
            </w:r>
            <w:proofErr w:type="spellEnd"/>
            <w:r w:rsidR="00165960" w:rsidRPr="00165960">
              <w:t xml:space="preserve"> - hookworm, schistosomiasis - but also giardiasis or other protozoal</w:t>
            </w:r>
            <w:r>
              <w:t xml:space="preserve"> infections and </w:t>
            </w:r>
            <w:proofErr w:type="spellStart"/>
            <w:r>
              <w:t>strongyloides</w:t>
            </w:r>
            <w:proofErr w:type="spellEnd"/>
            <w:r>
              <w:t>)</w:t>
            </w:r>
          </w:p>
          <w:p w:rsidR="0007177E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>D</w:t>
            </w:r>
            <w:r w:rsidR="00165960" w:rsidRPr="00165960">
              <w:t>rugs (</w:t>
            </w:r>
            <w:proofErr w:type="spellStart"/>
            <w:r w:rsidR="00165960" w:rsidRPr="00165960">
              <w:t>penicillins</w:t>
            </w:r>
            <w:proofErr w:type="spellEnd"/>
            <w:r w:rsidR="00165960" w:rsidRPr="00165960">
              <w:t>, carbamazepine, sulphonamides are common but</w:t>
            </w:r>
            <w:r>
              <w:t xml:space="preserve"> any drug is a possible cause)</w:t>
            </w:r>
          </w:p>
          <w:p w:rsidR="0007177E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 xml:space="preserve">Asthma / </w:t>
            </w:r>
            <w:r w:rsidR="00165960" w:rsidRPr="00165960">
              <w:t>at</w:t>
            </w:r>
            <w:r>
              <w:t>opic dermatitis / acute urticarial</w:t>
            </w:r>
          </w:p>
          <w:p w:rsidR="0007177E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165960" w:rsidRPr="00165960">
              <w:t xml:space="preserve">onnective tissue disease (rheumatoid arthritis, </w:t>
            </w:r>
            <w:proofErr w:type="spellStart"/>
            <w:r w:rsidR="00165960" w:rsidRPr="00165960">
              <w:t>polyarteritis</w:t>
            </w:r>
            <w:proofErr w:type="spellEnd"/>
            <w:r w:rsidR="00165960" w:rsidRPr="00165960">
              <w:t xml:space="preserve"> </w:t>
            </w:r>
            <w:proofErr w:type="spellStart"/>
            <w:r w:rsidR="00165960" w:rsidRPr="00165960">
              <w:t>nod</w:t>
            </w:r>
            <w:r>
              <w:t>osa</w:t>
            </w:r>
            <w:proofErr w:type="spellEnd"/>
            <w:r>
              <w:t>, Wegener's granulomatosis)</w:t>
            </w:r>
          </w:p>
          <w:p w:rsidR="0007177E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165960" w:rsidRPr="00165960">
              <w:t>olid malignancy (brea</w:t>
            </w:r>
            <w:r>
              <w:t>st, renal and lung cancer)</w:t>
            </w:r>
          </w:p>
          <w:p w:rsidR="00131E61" w:rsidRDefault="0007177E" w:rsidP="0007177E">
            <w:pPr>
              <w:pStyle w:val="ListParagraph"/>
              <w:numPr>
                <w:ilvl w:val="0"/>
                <w:numId w:val="19"/>
              </w:numPr>
            </w:pPr>
            <w:r>
              <w:t>R</w:t>
            </w:r>
            <w:r w:rsidR="00165960" w:rsidRPr="00165960">
              <w:t>espiratory disease (</w:t>
            </w:r>
            <w:proofErr w:type="spellStart"/>
            <w:r w:rsidR="00165960" w:rsidRPr="00165960">
              <w:t>Churg</w:t>
            </w:r>
            <w:proofErr w:type="spellEnd"/>
            <w:r w:rsidR="00165960" w:rsidRPr="00165960">
              <w:t>-Strauss syndrome, bronchiectasis, cystic fibrosis).</w:t>
            </w:r>
          </w:p>
        </w:tc>
      </w:tr>
      <w:tr w:rsidR="00165960" w:rsidTr="00553515">
        <w:tc>
          <w:tcPr>
            <w:tcW w:w="2802" w:type="dxa"/>
          </w:tcPr>
          <w:p w:rsidR="00165960" w:rsidRDefault="00165960" w:rsidP="007852CF">
            <w:proofErr w:type="spellStart"/>
            <w:r>
              <w:t>Hypereosinophilic</w:t>
            </w:r>
            <w:proofErr w:type="spellEnd"/>
            <w:r>
              <w:t xml:space="preserve"> syndrome</w:t>
            </w:r>
          </w:p>
        </w:tc>
        <w:tc>
          <w:tcPr>
            <w:tcW w:w="6440" w:type="dxa"/>
          </w:tcPr>
          <w:p w:rsidR="00165960" w:rsidRDefault="0007177E" w:rsidP="007852CF">
            <w:r>
              <w:t>C</w:t>
            </w:r>
            <w:r w:rsidR="00165960" w:rsidRPr="00165960">
              <w:t>an be made once all the above causes of eosinophilia have been ruled out. It is associated with end-organ damage, in particular, cardiac dysfunction.</w:t>
            </w:r>
          </w:p>
        </w:tc>
      </w:tr>
    </w:tbl>
    <w:p w:rsidR="008D2EE2" w:rsidRDefault="008D2EE2" w:rsidP="002A2514">
      <w:pPr>
        <w:ind w:left="4320" w:firstLine="720"/>
      </w:pPr>
    </w:p>
    <w:p w:rsidR="008D2EE2" w:rsidRDefault="008D2EE2" w:rsidP="002A2514">
      <w:pPr>
        <w:ind w:left="4320" w:firstLine="720"/>
      </w:pPr>
    </w:p>
    <w:p w:rsidR="00B22A75" w:rsidRDefault="002A2514" w:rsidP="002A2514">
      <w:pPr>
        <w:ind w:left="4320" w:firstLine="720"/>
      </w:pPr>
      <w:r>
        <w:rPr>
          <w:noProof/>
          <w:lang w:eastAsia="en-GB"/>
        </w:rPr>
        <w:lastRenderedPageBreak/>
        <w:drawing>
          <wp:inline distT="0" distB="0" distL="0" distR="0" wp14:anchorId="03D79D4F" wp14:editId="01BAA0AB">
            <wp:extent cx="2993390" cy="475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AE3" w:rsidRPr="00E97AE3" w:rsidRDefault="00E97AE3" w:rsidP="007852CF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07177E" w:rsidRPr="0007177E" w:rsidRDefault="0007177E" w:rsidP="0007177E">
      <w:pPr>
        <w:pStyle w:val="NormalWeb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Take a full clinical history including drug history, travel history, contact with animals and history of a rash or diarrhoea in addition to symptoms which may suggest an underlying cause (see above for differential diagnosis). Symptoms suggestive of underlying malignancy should be noted.</w:t>
      </w:r>
    </w:p>
    <w:p w:rsidR="0007177E" w:rsidRPr="0007177E" w:rsidRDefault="0007177E" w:rsidP="0007177E">
      <w:pPr>
        <w:pStyle w:val="NormalWeb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Undertake an examination to look for causes of eosinophilia in addition to consequences of tissue infiltration by eosinophils:</w:t>
      </w:r>
    </w:p>
    <w:p w:rsidR="0007177E" w:rsidRPr="0007177E" w:rsidRDefault="0007177E" w:rsidP="0007177E">
      <w:pPr>
        <w:pStyle w:val="psbulleta"/>
        <w:numPr>
          <w:ilvl w:val="0"/>
          <w:numId w:val="20"/>
        </w:numPr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Respiratory dysfunction</w:t>
      </w:r>
    </w:p>
    <w:p w:rsidR="0007177E" w:rsidRPr="0007177E" w:rsidRDefault="0007177E" w:rsidP="0007177E">
      <w:pPr>
        <w:pStyle w:val="psbulleta"/>
        <w:numPr>
          <w:ilvl w:val="0"/>
          <w:numId w:val="20"/>
        </w:numPr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Cardiac dysfunction</w:t>
      </w:r>
    </w:p>
    <w:p w:rsidR="0007177E" w:rsidRPr="0007177E" w:rsidRDefault="0007177E" w:rsidP="0007177E">
      <w:pPr>
        <w:pStyle w:val="psbulleta"/>
        <w:numPr>
          <w:ilvl w:val="0"/>
          <w:numId w:val="20"/>
        </w:numPr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GI dysfunction / hepatosplenomegaly</w:t>
      </w:r>
    </w:p>
    <w:p w:rsidR="0007177E" w:rsidRPr="0007177E" w:rsidRDefault="0007177E" w:rsidP="0007177E">
      <w:pPr>
        <w:pStyle w:val="psbulleta"/>
        <w:numPr>
          <w:ilvl w:val="0"/>
          <w:numId w:val="20"/>
        </w:numPr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Focal neurological signs</w:t>
      </w:r>
    </w:p>
    <w:p w:rsidR="0007177E" w:rsidRDefault="0007177E" w:rsidP="007852CF">
      <w:pPr>
        <w:pStyle w:val="psbulleta"/>
        <w:numPr>
          <w:ilvl w:val="0"/>
          <w:numId w:val="20"/>
        </w:numPr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7177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Skin rashes</w:t>
      </w:r>
    </w:p>
    <w:p w:rsidR="0007177E" w:rsidRPr="0007177E" w:rsidRDefault="0007177E" w:rsidP="0007177E">
      <w:pPr>
        <w:pStyle w:val="psbulleta"/>
        <w:ind w:left="8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7177E" w:rsidRDefault="00E97AE3" w:rsidP="007852CF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6F53" w:rsidTr="00E56F53">
        <w:tc>
          <w:tcPr>
            <w:tcW w:w="4621" w:type="dxa"/>
          </w:tcPr>
          <w:p w:rsidR="00E56F53" w:rsidRDefault="00367893" w:rsidP="00367893">
            <w:r>
              <w:t xml:space="preserve">Basic </w:t>
            </w:r>
            <w:r w:rsidR="00E56F53" w:rsidRPr="00E56F53">
              <w:t xml:space="preserve">Investigations in primary care </w:t>
            </w:r>
            <w:r>
              <w:t>that may be useful</w:t>
            </w:r>
          </w:p>
        </w:tc>
        <w:tc>
          <w:tcPr>
            <w:tcW w:w="4621" w:type="dxa"/>
          </w:tcPr>
          <w:p w:rsidR="00E56F53" w:rsidRDefault="00E56F53" w:rsidP="00013E8C">
            <w:r w:rsidRPr="00E56F53">
              <w:t xml:space="preserve">Investigations </w:t>
            </w:r>
            <w:r w:rsidR="00013E8C">
              <w:t>for travellers</w:t>
            </w:r>
          </w:p>
        </w:tc>
      </w:tr>
      <w:tr w:rsidR="00E56F53" w:rsidTr="00E56F53">
        <w:trPr>
          <w:trHeight w:val="277"/>
        </w:trPr>
        <w:tc>
          <w:tcPr>
            <w:tcW w:w="4621" w:type="dxa"/>
          </w:tcPr>
          <w:p w:rsidR="00E56F53" w:rsidRDefault="00367893" w:rsidP="00367893">
            <w:r>
              <w:t>Repeat full blood count and blood film in 1-2 weeks if eosinophil count is &gt; 1.5 x109/L to check if eosinophilia persistent.</w:t>
            </w:r>
          </w:p>
        </w:tc>
        <w:tc>
          <w:tcPr>
            <w:tcW w:w="4621" w:type="dxa"/>
          </w:tcPr>
          <w:p w:rsidR="00E56F53" w:rsidRDefault="00013E8C" w:rsidP="00013E8C">
            <w:r>
              <w:t xml:space="preserve">All returning </w:t>
            </w:r>
            <w:r w:rsidR="00E93A22">
              <w:t>travellers</w:t>
            </w:r>
            <w:r>
              <w:t xml:space="preserve"> with eosinophilia should have stool microscopy and Strongyloides serology</w:t>
            </w:r>
          </w:p>
        </w:tc>
      </w:tr>
      <w:tr w:rsidR="00013E8C" w:rsidTr="00E56F53">
        <w:tc>
          <w:tcPr>
            <w:tcW w:w="4621" w:type="dxa"/>
          </w:tcPr>
          <w:p w:rsidR="00013E8C" w:rsidRDefault="00013E8C" w:rsidP="007852CF">
            <w:r w:rsidRPr="00367893">
              <w:t>If the eosinophilia is mild and there is an obvious cause, there is no need to repeat the FBC.</w:t>
            </w:r>
          </w:p>
        </w:tc>
        <w:tc>
          <w:tcPr>
            <w:tcW w:w="4621" w:type="dxa"/>
            <w:vMerge w:val="restart"/>
          </w:tcPr>
          <w:p w:rsidR="00013E8C" w:rsidRDefault="00013E8C" w:rsidP="00013E8C">
            <w:r w:rsidRPr="00013E8C">
              <w:t>Travellers returning from Africa should have in addition</w:t>
            </w:r>
            <w:r>
              <w:t>:</w:t>
            </w:r>
          </w:p>
          <w:p w:rsidR="00013E8C" w:rsidRDefault="00013E8C" w:rsidP="00013E8C">
            <w:r>
              <w:t xml:space="preserve"> •Terminal urine (sample collected once the bladder has nearly been emptied) collected at midday for schistosomiasis ova.</w:t>
            </w:r>
          </w:p>
          <w:p w:rsidR="00013E8C" w:rsidRDefault="00013E8C" w:rsidP="00013E8C">
            <w:r>
              <w:t>•Schistosomiasis serology (note latter may not be positive for up to 22 weeks after infection)</w:t>
            </w:r>
          </w:p>
          <w:p w:rsidR="00013E8C" w:rsidRDefault="00013E8C" w:rsidP="00013E8C">
            <w:r>
              <w:t>•</w:t>
            </w:r>
            <w:proofErr w:type="spellStart"/>
            <w:r>
              <w:t>Filaria</w:t>
            </w:r>
            <w:proofErr w:type="spellEnd"/>
            <w:r>
              <w:t xml:space="preserve"> serology if returning from West Africa</w:t>
            </w:r>
          </w:p>
        </w:tc>
      </w:tr>
      <w:tr w:rsidR="00013E8C" w:rsidTr="00E56F53">
        <w:tc>
          <w:tcPr>
            <w:tcW w:w="4621" w:type="dxa"/>
          </w:tcPr>
          <w:p w:rsidR="00013E8C" w:rsidRDefault="00013E8C" w:rsidP="007852CF">
            <w:r w:rsidRPr="00367893">
              <w:t xml:space="preserve">Inflammatory markers </w:t>
            </w:r>
            <w:proofErr w:type="spellStart"/>
            <w:r w:rsidRPr="00367893">
              <w:t>ie</w:t>
            </w:r>
            <w:proofErr w:type="spellEnd"/>
            <w:r w:rsidRPr="00367893">
              <w:t xml:space="preserve"> CRP</w:t>
            </w:r>
          </w:p>
        </w:tc>
        <w:tc>
          <w:tcPr>
            <w:tcW w:w="4621" w:type="dxa"/>
            <w:vMerge/>
          </w:tcPr>
          <w:p w:rsidR="00013E8C" w:rsidRDefault="00013E8C" w:rsidP="00013E8C"/>
        </w:tc>
      </w:tr>
      <w:tr w:rsidR="00013E8C" w:rsidTr="00E56F53">
        <w:tc>
          <w:tcPr>
            <w:tcW w:w="4621" w:type="dxa"/>
          </w:tcPr>
          <w:p w:rsidR="00013E8C" w:rsidRDefault="00013E8C" w:rsidP="007852CF">
            <w:r>
              <w:t>Renal and liver function</w:t>
            </w:r>
          </w:p>
        </w:tc>
        <w:tc>
          <w:tcPr>
            <w:tcW w:w="4621" w:type="dxa"/>
            <w:vMerge/>
          </w:tcPr>
          <w:p w:rsidR="00013E8C" w:rsidRDefault="00013E8C" w:rsidP="007852CF"/>
        </w:tc>
      </w:tr>
      <w:tr w:rsidR="00013E8C" w:rsidTr="00E56F53">
        <w:tc>
          <w:tcPr>
            <w:tcW w:w="4621" w:type="dxa"/>
          </w:tcPr>
          <w:p w:rsidR="00013E8C" w:rsidRPr="00E56F53" w:rsidRDefault="00013E8C" w:rsidP="00367893">
            <w:r>
              <w:t xml:space="preserve">Autoantibodies if evidence of autoimmune disease (ANA, ENA, anti- dsDNA, </w:t>
            </w:r>
            <w:proofErr w:type="spellStart"/>
            <w:r>
              <w:t>RhF</w:t>
            </w:r>
            <w:proofErr w:type="spellEnd"/>
            <w:r>
              <w:t>, ANCA)</w:t>
            </w:r>
          </w:p>
        </w:tc>
        <w:tc>
          <w:tcPr>
            <w:tcW w:w="4621" w:type="dxa"/>
            <w:vMerge w:val="restart"/>
          </w:tcPr>
          <w:p w:rsidR="00013E8C" w:rsidRDefault="00013E8C" w:rsidP="007852CF">
            <w:r w:rsidRPr="00013E8C">
              <w:t>In returning travellers with eosinophilia discussion with the microbiologists should be considered.</w:t>
            </w:r>
            <w:bookmarkStart w:id="0" w:name="_GoBack"/>
            <w:bookmarkEnd w:id="0"/>
          </w:p>
        </w:tc>
      </w:tr>
      <w:tr w:rsidR="00013E8C" w:rsidTr="00E56F53">
        <w:tc>
          <w:tcPr>
            <w:tcW w:w="4621" w:type="dxa"/>
          </w:tcPr>
          <w:p w:rsidR="00013E8C" w:rsidRDefault="00013E8C" w:rsidP="00367893">
            <w:r>
              <w:t>CXR</w:t>
            </w:r>
          </w:p>
        </w:tc>
        <w:tc>
          <w:tcPr>
            <w:tcW w:w="4621" w:type="dxa"/>
            <w:vMerge/>
          </w:tcPr>
          <w:p w:rsidR="00013E8C" w:rsidRDefault="00013E8C" w:rsidP="007852CF"/>
        </w:tc>
      </w:tr>
    </w:tbl>
    <w:p w:rsidR="002A2514" w:rsidRPr="002A2514" w:rsidRDefault="002A2514" w:rsidP="005D342C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07177E" w:rsidRDefault="0007177E" w:rsidP="0007177E">
      <w:pPr>
        <w:pStyle w:val="ListParagraph"/>
        <w:numPr>
          <w:ilvl w:val="0"/>
          <w:numId w:val="22"/>
        </w:numPr>
      </w:pPr>
      <w:r w:rsidRPr="0007177E">
        <w:t>Persistent eosinophilia for &gt;3months without an obvious cause after investigation as above.</w:t>
      </w:r>
    </w:p>
    <w:p w:rsidR="0007177E" w:rsidRDefault="0007177E" w:rsidP="0007177E">
      <w:pPr>
        <w:pStyle w:val="ListParagraph"/>
        <w:numPr>
          <w:ilvl w:val="0"/>
          <w:numId w:val="22"/>
        </w:numPr>
      </w:pPr>
      <w:r w:rsidRPr="0007177E">
        <w:t>Any level of eosinophilia with evidence of end-organ damage (cardiac, gastrointestinal, pulmonary or neurological symptoms) which is not related to another underlying medical condition.</w:t>
      </w:r>
    </w:p>
    <w:p w:rsidR="0007177E" w:rsidRPr="0007177E" w:rsidRDefault="0007177E" w:rsidP="0007177E">
      <w:pPr>
        <w:pStyle w:val="ListParagraph"/>
        <w:numPr>
          <w:ilvl w:val="0"/>
          <w:numId w:val="22"/>
        </w:numPr>
      </w:pPr>
      <w:r w:rsidRPr="0007177E">
        <w:t>Eosinophils &gt;5 where the cause is not immediately apparent</w:t>
      </w:r>
    </w:p>
    <w:p w:rsidR="004D0C4B" w:rsidRPr="00CC77C0" w:rsidRDefault="004D0C4B" w:rsidP="00CC77C0">
      <w:r w:rsidRPr="00CC77C0">
        <w:rPr>
          <w:b/>
          <w:sz w:val="28"/>
          <w:szCs w:val="28"/>
        </w:rPr>
        <w:t>References</w:t>
      </w:r>
    </w:p>
    <w:p w:rsidR="0007177E" w:rsidRDefault="0007177E" w:rsidP="0007177E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07177E">
        <w:rPr>
          <w:sz w:val="18"/>
          <w:szCs w:val="18"/>
        </w:rPr>
        <w:t xml:space="preserve">Sims H, </w:t>
      </w:r>
      <w:proofErr w:type="spellStart"/>
      <w:r w:rsidRPr="0007177E">
        <w:rPr>
          <w:sz w:val="18"/>
          <w:szCs w:val="18"/>
        </w:rPr>
        <w:t>Erber</w:t>
      </w:r>
      <w:proofErr w:type="spellEnd"/>
      <w:r w:rsidRPr="0007177E">
        <w:rPr>
          <w:sz w:val="18"/>
          <w:szCs w:val="18"/>
        </w:rPr>
        <w:t xml:space="preserve"> WN. Investigation of and incidental finding of eosinophilia. BMJ 2011 342: 2670</w:t>
      </w:r>
      <w:r w:rsidR="008D2EE2">
        <w:rPr>
          <w:sz w:val="18"/>
          <w:szCs w:val="18"/>
        </w:rPr>
        <w:t>.</w:t>
      </w:r>
    </w:p>
    <w:p w:rsidR="0007177E" w:rsidRDefault="008D2EE2" w:rsidP="0007177E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Lombardi C et al</w:t>
      </w:r>
      <w:r w:rsidR="0007177E" w:rsidRPr="0007177E">
        <w:rPr>
          <w:sz w:val="18"/>
          <w:szCs w:val="18"/>
        </w:rPr>
        <w:t>. Eosinophilia and disease: a clinical revision of 1862 cases. Arch Intern Med 2003 163: 1670-3</w:t>
      </w:r>
      <w:r>
        <w:rPr>
          <w:sz w:val="18"/>
          <w:szCs w:val="18"/>
        </w:rPr>
        <w:t>.</w:t>
      </w:r>
    </w:p>
    <w:p w:rsidR="00F82594" w:rsidRPr="008D2EE2" w:rsidRDefault="0007177E" w:rsidP="007852CF">
      <w:pPr>
        <w:pStyle w:val="ListParagraph"/>
        <w:numPr>
          <w:ilvl w:val="0"/>
          <w:numId w:val="23"/>
        </w:numPr>
        <w:rPr>
          <w:sz w:val="18"/>
          <w:szCs w:val="18"/>
        </w:rPr>
      </w:pPr>
      <w:proofErr w:type="spellStart"/>
      <w:r w:rsidRPr="00310149">
        <w:rPr>
          <w:sz w:val="18"/>
          <w:szCs w:val="18"/>
        </w:rPr>
        <w:t>Smellie</w:t>
      </w:r>
      <w:proofErr w:type="spellEnd"/>
      <w:r w:rsidRPr="00310149">
        <w:rPr>
          <w:sz w:val="18"/>
          <w:szCs w:val="18"/>
        </w:rPr>
        <w:t xml:space="preserve"> WSA, Forth J, Smart SRS. Best practice in primary care pathology: review 7. J </w:t>
      </w:r>
      <w:proofErr w:type="spellStart"/>
      <w:r w:rsidRPr="00310149">
        <w:rPr>
          <w:sz w:val="18"/>
          <w:szCs w:val="18"/>
        </w:rPr>
        <w:t>Clin</w:t>
      </w:r>
      <w:proofErr w:type="spellEnd"/>
      <w:r w:rsidRPr="00310149">
        <w:rPr>
          <w:sz w:val="18"/>
          <w:szCs w:val="18"/>
        </w:rPr>
        <w:t xml:space="preserve"> Pathol2007 60: 458-65</w:t>
      </w:r>
      <w:r w:rsidR="008D2EE2">
        <w:rPr>
          <w:sz w:val="18"/>
          <w:szCs w:val="18"/>
        </w:rPr>
        <w:t>.</w:t>
      </w:r>
    </w:p>
    <w:sectPr w:rsidR="00F82594" w:rsidRPr="008D2EE2" w:rsidSect="00CC77C0">
      <w:footerReference w:type="defaul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AA" w:rsidRPr="009D26AA" w:rsidRDefault="009D26AA">
    <w:pPr>
      <w:pStyle w:val="Footer"/>
      <w:rPr>
        <w:sz w:val="18"/>
        <w:szCs w:val="18"/>
      </w:rPr>
    </w:pPr>
    <w:r w:rsidRPr="009D26AA">
      <w:rPr>
        <w:sz w:val="18"/>
        <w:szCs w:val="18"/>
      </w:rPr>
      <w:t>Eosinophilia guidance. Author: Noel Ryman. Version 1. Approved on: 01 March 2018. Review date: 01 March 2021</w:t>
    </w:r>
  </w:p>
  <w:p w:rsidR="00741A2D" w:rsidRDefault="0074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FD2"/>
    <w:multiLevelType w:val="multilevel"/>
    <w:tmpl w:val="397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E5792"/>
    <w:multiLevelType w:val="multilevel"/>
    <w:tmpl w:val="8A04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1846"/>
    <w:multiLevelType w:val="multilevel"/>
    <w:tmpl w:val="D972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B6A56"/>
    <w:multiLevelType w:val="hybridMultilevel"/>
    <w:tmpl w:val="1D661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D4A"/>
    <w:multiLevelType w:val="multilevel"/>
    <w:tmpl w:val="EF02E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015A8"/>
    <w:multiLevelType w:val="hybridMultilevel"/>
    <w:tmpl w:val="03C6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BAD"/>
    <w:multiLevelType w:val="hybridMultilevel"/>
    <w:tmpl w:val="D7B8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859FB"/>
    <w:multiLevelType w:val="hybridMultilevel"/>
    <w:tmpl w:val="22E2A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FC3"/>
    <w:multiLevelType w:val="multilevel"/>
    <w:tmpl w:val="CC2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694605"/>
    <w:multiLevelType w:val="hybridMultilevel"/>
    <w:tmpl w:val="EB3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D253F"/>
    <w:multiLevelType w:val="hybridMultilevel"/>
    <w:tmpl w:val="468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D364F"/>
    <w:multiLevelType w:val="hybridMultilevel"/>
    <w:tmpl w:val="8A2A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1"/>
  </w:num>
  <w:num w:numId="13">
    <w:abstractNumId w:val="21"/>
  </w:num>
  <w:num w:numId="14">
    <w:abstractNumId w:val="17"/>
  </w:num>
  <w:num w:numId="15">
    <w:abstractNumId w:val="4"/>
  </w:num>
  <w:num w:numId="16">
    <w:abstractNumId w:val="19"/>
  </w:num>
  <w:num w:numId="17">
    <w:abstractNumId w:val="3"/>
  </w:num>
  <w:num w:numId="18">
    <w:abstractNumId w:val="20"/>
  </w:num>
  <w:num w:numId="19">
    <w:abstractNumId w:val="22"/>
  </w:num>
  <w:num w:numId="20">
    <w:abstractNumId w:val="0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13E8C"/>
    <w:rsid w:val="0004394B"/>
    <w:rsid w:val="0007177E"/>
    <w:rsid w:val="00131E61"/>
    <w:rsid w:val="00163A1B"/>
    <w:rsid w:val="00165960"/>
    <w:rsid w:val="001A5BAE"/>
    <w:rsid w:val="001A7748"/>
    <w:rsid w:val="002A2514"/>
    <w:rsid w:val="00310149"/>
    <w:rsid w:val="00336654"/>
    <w:rsid w:val="00337FEC"/>
    <w:rsid w:val="003531DC"/>
    <w:rsid w:val="00367893"/>
    <w:rsid w:val="003C01EF"/>
    <w:rsid w:val="003F67A5"/>
    <w:rsid w:val="00445EDF"/>
    <w:rsid w:val="004757A9"/>
    <w:rsid w:val="004D0C4B"/>
    <w:rsid w:val="004D69DE"/>
    <w:rsid w:val="00523785"/>
    <w:rsid w:val="00553515"/>
    <w:rsid w:val="00584401"/>
    <w:rsid w:val="005D342C"/>
    <w:rsid w:val="006008EA"/>
    <w:rsid w:val="006658FF"/>
    <w:rsid w:val="006E4CF4"/>
    <w:rsid w:val="006E68F1"/>
    <w:rsid w:val="006E6DF5"/>
    <w:rsid w:val="00716348"/>
    <w:rsid w:val="00741A2D"/>
    <w:rsid w:val="007852CF"/>
    <w:rsid w:val="007B666A"/>
    <w:rsid w:val="007D36B5"/>
    <w:rsid w:val="00801D60"/>
    <w:rsid w:val="00832185"/>
    <w:rsid w:val="00864BD3"/>
    <w:rsid w:val="00896CA2"/>
    <w:rsid w:val="008D2EE2"/>
    <w:rsid w:val="00937D96"/>
    <w:rsid w:val="009D26AA"/>
    <w:rsid w:val="00A05727"/>
    <w:rsid w:val="00A222AA"/>
    <w:rsid w:val="00A40D92"/>
    <w:rsid w:val="00A6021A"/>
    <w:rsid w:val="00A95F47"/>
    <w:rsid w:val="00AC2D9A"/>
    <w:rsid w:val="00B22A75"/>
    <w:rsid w:val="00BA4C63"/>
    <w:rsid w:val="00C676B2"/>
    <w:rsid w:val="00CA295B"/>
    <w:rsid w:val="00CC77C0"/>
    <w:rsid w:val="00D00AA1"/>
    <w:rsid w:val="00DF5D0A"/>
    <w:rsid w:val="00E56F53"/>
    <w:rsid w:val="00E93A22"/>
    <w:rsid w:val="00E97AE3"/>
    <w:rsid w:val="00F82594"/>
    <w:rsid w:val="00F87C1A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  <w:style w:type="character" w:styleId="Hyperlink">
    <w:name w:val="Hyperlink"/>
    <w:basedOn w:val="DefaultParagraphFont"/>
    <w:uiPriority w:val="99"/>
    <w:unhideWhenUsed/>
    <w:rsid w:val="001659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77E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bulleta">
    <w:name w:val="ps_bulleta"/>
    <w:basedOn w:val="Normal"/>
    <w:rsid w:val="0007177E"/>
    <w:pPr>
      <w:spacing w:before="45" w:after="1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  <w:style w:type="character" w:styleId="Hyperlink">
    <w:name w:val="Hyperlink"/>
    <w:basedOn w:val="DefaultParagraphFont"/>
    <w:uiPriority w:val="99"/>
    <w:unhideWhenUsed/>
    <w:rsid w:val="001659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77E"/>
    <w:pPr>
      <w:spacing w:before="75" w:after="4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  <w:style w:type="paragraph" w:customStyle="1" w:styleId="psbulleta">
    <w:name w:val="ps_bulleta"/>
    <w:basedOn w:val="Normal"/>
    <w:rsid w:val="0007177E"/>
    <w:pPr>
      <w:spacing w:before="45" w:after="15" w:line="240" w:lineRule="auto"/>
    </w:pPr>
    <w:rPr>
      <w:rFonts w:ascii="Arial" w:eastAsia="Times New Roman" w:hAnsi="Arial" w:cs="Arial"/>
      <w:color w:val="000E8A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6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15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64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49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85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11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43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31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276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17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2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7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80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08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15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cid.salisbury.nhs.uk/ClinicalManagement/Haematology/Pages/Eosinophilia-CausesandInvestigation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F397-E42E-4523-A24A-C2759522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5</cp:revision>
  <dcterms:created xsi:type="dcterms:W3CDTF">2018-02-28T16:36:00Z</dcterms:created>
  <dcterms:modified xsi:type="dcterms:W3CDTF">2018-04-17T09:09:00Z</dcterms:modified>
</cp:coreProperties>
</file>