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34D" w:rsidRDefault="003E334D" w:rsidP="003E334D">
      <w:pPr>
        <w:jc w:val="right"/>
        <w:rPr>
          <w:rFonts w:ascii="Arial" w:hAnsi="Arial" w:cs="Arial"/>
          <w:sz w:val="22"/>
          <w:szCs w:val="22"/>
        </w:rPr>
      </w:pPr>
      <w:r>
        <w:rPr>
          <w:rFonts w:ascii="Arial" w:hAnsi="Arial" w:cs="Arial"/>
          <w:sz w:val="22"/>
          <w:szCs w:val="22"/>
        </w:rPr>
        <w:t>Trust/GP address</w:t>
      </w: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p>
    <w:p w:rsidR="003E334D" w:rsidRDefault="003E334D" w:rsidP="003E334D">
      <w:pPr>
        <w:jc w:val="right"/>
        <w:rPr>
          <w:rFonts w:ascii="Arial" w:hAnsi="Arial" w:cs="Arial"/>
          <w:sz w:val="22"/>
          <w:szCs w:val="22"/>
        </w:rPr>
      </w:pPr>
      <w:r>
        <w:rPr>
          <w:rFonts w:ascii="Arial" w:hAnsi="Arial" w:cs="Arial"/>
          <w:sz w:val="22"/>
          <w:szCs w:val="22"/>
        </w:rPr>
        <w:t>Date</w:t>
      </w:r>
    </w:p>
    <w:p w:rsidR="003E334D" w:rsidRDefault="003E334D" w:rsidP="003E334D">
      <w:pPr>
        <w:rPr>
          <w:rFonts w:ascii="Arial" w:hAnsi="Arial" w:cs="Arial"/>
          <w:sz w:val="22"/>
          <w:szCs w:val="22"/>
        </w:rPr>
      </w:pPr>
      <w:r>
        <w:rPr>
          <w:rFonts w:ascii="Arial" w:hAnsi="Arial" w:cs="Arial"/>
          <w:sz w:val="22"/>
          <w:szCs w:val="22"/>
        </w:rPr>
        <w:t>IFR team</w:t>
      </w:r>
    </w:p>
    <w:p w:rsidR="003E334D" w:rsidRDefault="003E334D" w:rsidP="003E334D">
      <w:pPr>
        <w:rPr>
          <w:rFonts w:ascii="Arial" w:hAnsi="Arial" w:cs="Arial"/>
          <w:sz w:val="22"/>
          <w:szCs w:val="22"/>
        </w:rPr>
      </w:pPr>
      <w:r>
        <w:rPr>
          <w:rFonts w:ascii="Arial" w:hAnsi="Arial" w:cs="Arial"/>
          <w:sz w:val="22"/>
          <w:szCs w:val="22"/>
        </w:rPr>
        <w:t>South, Central &amp; West CSU</w:t>
      </w:r>
    </w:p>
    <w:p w:rsidR="003E334D" w:rsidRDefault="003E334D" w:rsidP="003E334D">
      <w:pPr>
        <w:rPr>
          <w:rFonts w:ascii="Arial" w:hAnsi="Arial" w:cs="Arial"/>
          <w:sz w:val="22"/>
          <w:szCs w:val="22"/>
        </w:rPr>
      </w:pPr>
      <w:r>
        <w:rPr>
          <w:rFonts w:ascii="Arial" w:hAnsi="Arial" w:cs="Arial"/>
          <w:sz w:val="22"/>
          <w:szCs w:val="22"/>
        </w:rPr>
        <w:t>Omega House</w:t>
      </w:r>
    </w:p>
    <w:p w:rsidR="003E334D" w:rsidRDefault="003E334D" w:rsidP="003E334D">
      <w:pPr>
        <w:rPr>
          <w:rFonts w:ascii="Arial" w:hAnsi="Arial" w:cs="Arial"/>
          <w:sz w:val="22"/>
          <w:szCs w:val="22"/>
        </w:rPr>
      </w:pPr>
      <w:r>
        <w:rPr>
          <w:rFonts w:ascii="Arial" w:hAnsi="Arial" w:cs="Arial"/>
          <w:sz w:val="22"/>
          <w:szCs w:val="22"/>
        </w:rPr>
        <w:t>112 Southampton Road</w:t>
      </w:r>
    </w:p>
    <w:p w:rsidR="003E334D" w:rsidRDefault="003E334D" w:rsidP="003E334D">
      <w:pPr>
        <w:rPr>
          <w:rFonts w:ascii="Arial" w:hAnsi="Arial" w:cs="Arial"/>
          <w:sz w:val="22"/>
          <w:szCs w:val="22"/>
        </w:rPr>
      </w:pPr>
      <w:r>
        <w:rPr>
          <w:rFonts w:ascii="Arial" w:hAnsi="Arial" w:cs="Arial"/>
          <w:sz w:val="22"/>
          <w:szCs w:val="22"/>
        </w:rPr>
        <w:t>Eastleigh SO50 5PB</w:t>
      </w:r>
    </w:p>
    <w:p w:rsidR="003E334D" w:rsidRDefault="003A4E50" w:rsidP="003E334D">
      <w:hyperlink r:id="rId9" w:history="1">
        <w:r w:rsidRPr="003A4E50">
          <w:rPr>
            <w:rStyle w:val="Hyperlink"/>
            <w:b/>
            <w:bCs/>
          </w:rPr>
          <w:t>scwcsu.ship.ifrrequests@nhs.net</w:t>
        </w:r>
      </w:hyperlink>
    </w:p>
    <w:p w:rsidR="003A4E50" w:rsidRDefault="003A4E50" w:rsidP="003E334D">
      <w:pPr>
        <w:rPr>
          <w:rFonts w:ascii="Arial" w:hAnsi="Arial" w:cs="Arial"/>
          <w:sz w:val="22"/>
          <w:szCs w:val="22"/>
        </w:rPr>
      </w:pPr>
      <w:bookmarkStart w:id="0" w:name="_GoBack"/>
      <w:bookmarkEnd w:id="0"/>
    </w:p>
    <w:p w:rsidR="003E334D" w:rsidRDefault="003E334D" w:rsidP="003E334D">
      <w:pPr>
        <w:rPr>
          <w:rFonts w:ascii="Arial" w:hAnsi="Arial" w:cs="Arial"/>
          <w:sz w:val="22"/>
          <w:szCs w:val="22"/>
        </w:rPr>
      </w:pPr>
      <w:r>
        <w:rPr>
          <w:rFonts w:ascii="Arial" w:hAnsi="Arial" w:cs="Arial"/>
          <w:sz w:val="22"/>
          <w:szCs w:val="22"/>
        </w:rPr>
        <w:t>Dear team</w:t>
      </w:r>
    </w:p>
    <w:p w:rsidR="003E334D" w:rsidRDefault="003E334D" w:rsidP="003E334D">
      <w:pPr>
        <w:rPr>
          <w:rFonts w:ascii="Arial" w:hAnsi="Arial" w:cs="Arial"/>
          <w:sz w:val="22"/>
          <w:szCs w:val="22"/>
        </w:rPr>
      </w:pPr>
    </w:p>
    <w:p w:rsidR="00C60427" w:rsidRPr="003E334D" w:rsidRDefault="00C60427" w:rsidP="00BB0216">
      <w:pPr>
        <w:jc w:val="center"/>
        <w:rPr>
          <w:rFonts w:ascii="Arial" w:hAnsi="Arial" w:cs="Arial"/>
          <w:sz w:val="22"/>
          <w:szCs w:val="22"/>
          <w:u w:val="single"/>
        </w:rPr>
      </w:pPr>
      <w:r w:rsidRPr="003E334D">
        <w:rPr>
          <w:rFonts w:ascii="Arial" w:hAnsi="Arial" w:cs="Arial"/>
          <w:sz w:val="22"/>
          <w:szCs w:val="22"/>
          <w:u w:val="single"/>
        </w:rPr>
        <w:t>Prior Approval</w:t>
      </w:r>
      <w:r w:rsidR="00B837B1">
        <w:rPr>
          <w:rFonts w:ascii="Arial" w:hAnsi="Arial" w:cs="Arial"/>
          <w:sz w:val="22"/>
          <w:szCs w:val="22"/>
          <w:u w:val="single"/>
        </w:rPr>
        <w:t xml:space="preserve"> </w:t>
      </w:r>
      <w:r w:rsidR="00FC1655" w:rsidRPr="003E334D">
        <w:rPr>
          <w:rFonts w:ascii="Arial" w:hAnsi="Arial" w:cs="Arial"/>
          <w:sz w:val="22"/>
          <w:szCs w:val="22"/>
          <w:u w:val="single"/>
        </w:rPr>
        <w:t>–</w:t>
      </w:r>
      <w:r w:rsidR="00514526" w:rsidRPr="003E334D">
        <w:rPr>
          <w:rFonts w:ascii="Arial" w:hAnsi="Arial" w:cs="Arial"/>
          <w:sz w:val="22"/>
          <w:szCs w:val="22"/>
          <w:u w:val="single"/>
        </w:rPr>
        <w:t xml:space="preserve"> </w:t>
      </w:r>
      <w:r w:rsidR="00B837B1">
        <w:rPr>
          <w:rFonts w:ascii="Arial" w:hAnsi="Arial" w:cs="Arial"/>
          <w:sz w:val="22"/>
          <w:szCs w:val="22"/>
          <w:u w:val="single"/>
        </w:rPr>
        <w:t>Functional endoscopic sinus surgery</w:t>
      </w:r>
    </w:p>
    <w:p w:rsidR="00BB0216" w:rsidRDefault="00BB0216" w:rsidP="00BB0216">
      <w:pPr>
        <w:jc w:val="cente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1"/>
        <w:gridCol w:w="4311"/>
      </w:tblGrid>
      <w:tr w:rsidR="00603ADE" w:rsidRPr="00B169D2" w:rsidTr="007E072E">
        <w:trPr>
          <w:trHeight w:val="257"/>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Patient </w:t>
            </w:r>
            <w:r w:rsidR="00BA5547" w:rsidRPr="00B169D2">
              <w:rPr>
                <w:rFonts w:ascii="Arial" w:hAnsi="Arial" w:cs="Arial"/>
                <w:sz w:val="22"/>
                <w:szCs w:val="22"/>
              </w:rPr>
              <w:t xml:space="preserve">Name/ </w:t>
            </w:r>
            <w:proofErr w:type="spellStart"/>
            <w:r w:rsidR="00BA5547" w:rsidRPr="00B169D2">
              <w:rPr>
                <w:rFonts w:ascii="Arial" w:hAnsi="Arial" w:cs="Arial"/>
                <w:sz w:val="22"/>
                <w:szCs w:val="22"/>
              </w:rPr>
              <w:t>DoB</w:t>
            </w:r>
            <w:proofErr w:type="spellEnd"/>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NHS Number</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Referring GP/ practice</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57"/>
        </w:trPr>
        <w:tc>
          <w:tcPr>
            <w:tcW w:w="2500" w:type="pct"/>
            <w:shd w:val="clear" w:color="auto" w:fill="auto"/>
          </w:tcPr>
          <w:p w:rsidR="00603ADE" w:rsidRPr="00B169D2" w:rsidRDefault="00BA5547">
            <w:pPr>
              <w:rPr>
                <w:rFonts w:ascii="Arial" w:hAnsi="Arial" w:cs="Arial"/>
                <w:sz w:val="22"/>
                <w:szCs w:val="22"/>
              </w:rPr>
            </w:pPr>
            <w:r w:rsidRPr="00B169D2">
              <w:rPr>
                <w:rFonts w:ascii="Arial" w:hAnsi="Arial" w:cs="Arial"/>
                <w:sz w:val="22"/>
                <w:szCs w:val="22"/>
              </w:rPr>
              <w:t>Consultant/ Providing Trust</w:t>
            </w:r>
          </w:p>
        </w:tc>
        <w:tc>
          <w:tcPr>
            <w:tcW w:w="2500" w:type="pct"/>
            <w:shd w:val="clear" w:color="auto" w:fill="auto"/>
          </w:tcPr>
          <w:p w:rsidR="00603ADE" w:rsidRPr="00B169D2" w:rsidRDefault="00603ADE">
            <w:pPr>
              <w:rPr>
                <w:rFonts w:ascii="Arial" w:hAnsi="Arial" w:cs="Arial"/>
                <w:sz w:val="22"/>
                <w:szCs w:val="22"/>
              </w:rPr>
            </w:pPr>
          </w:p>
        </w:tc>
      </w:tr>
      <w:tr w:rsidR="00603ADE" w:rsidRPr="00B169D2" w:rsidTr="007E072E">
        <w:trPr>
          <w:trHeight w:val="268"/>
        </w:trPr>
        <w:tc>
          <w:tcPr>
            <w:tcW w:w="2500" w:type="pct"/>
            <w:shd w:val="clear" w:color="auto" w:fill="auto"/>
          </w:tcPr>
          <w:p w:rsidR="00603ADE" w:rsidRPr="00B169D2" w:rsidRDefault="00603ADE">
            <w:pPr>
              <w:rPr>
                <w:rFonts w:ascii="Arial" w:hAnsi="Arial" w:cs="Arial"/>
                <w:sz w:val="22"/>
                <w:szCs w:val="22"/>
              </w:rPr>
            </w:pPr>
            <w:r w:rsidRPr="00B169D2">
              <w:rPr>
                <w:rFonts w:ascii="Arial" w:hAnsi="Arial" w:cs="Arial"/>
                <w:sz w:val="22"/>
                <w:szCs w:val="22"/>
              </w:rPr>
              <w:t xml:space="preserve">Date of </w:t>
            </w:r>
            <w:r w:rsidR="00BA5547" w:rsidRPr="00B169D2">
              <w:rPr>
                <w:rFonts w:ascii="Arial" w:hAnsi="Arial" w:cs="Arial"/>
                <w:sz w:val="22"/>
                <w:szCs w:val="22"/>
              </w:rPr>
              <w:t>clinic</w:t>
            </w:r>
          </w:p>
        </w:tc>
        <w:tc>
          <w:tcPr>
            <w:tcW w:w="2500" w:type="pct"/>
            <w:shd w:val="clear" w:color="auto" w:fill="auto"/>
          </w:tcPr>
          <w:p w:rsidR="00603ADE" w:rsidRPr="00B169D2" w:rsidRDefault="00603ADE">
            <w:pPr>
              <w:rPr>
                <w:rFonts w:ascii="Arial" w:hAnsi="Arial" w:cs="Arial"/>
                <w:sz w:val="22"/>
                <w:szCs w:val="22"/>
              </w:rPr>
            </w:pPr>
          </w:p>
        </w:tc>
      </w:tr>
    </w:tbl>
    <w:p w:rsidR="00603ADE" w:rsidRDefault="00603ADE">
      <w:pPr>
        <w:rPr>
          <w:rFonts w:ascii="Arial" w:hAnsi="Arial" w:cs="Arial"/>
          <w:sz w:val="22"/>
          <w:szCs w:val="22"/>
        </w:rPr>
      </w:pPr>
    </w:p>
    <w:p w:rsidR="00352D6E" w:rsidRDefault="00B837B1" w:rsidP="00E26742">
      <w:pPr>
        <w:rPr>
          <w:rFonts w:ascii="Arial" w:hAnsi="Arial" w:cs="Arial"/>
          <w:sz w:val="22"/>
          <w:szCs w:val="22"/>
        </w:rPr>
      </w:pPr>
      <w:r>
        <w:rPr>
          <w:rFonts w:ascii="Arial" w:hAnsi="Arial" w:cs="Arial"/>
          <w:sz w:val="22"/>
          <w:szCs w:val="22"/>
        </w:rPr>
        <w:t>Functional endoscopic sinus surgery is recommended as a treatment option ONLY for patients with chronic rhinosinusitis and/or nasal polyps in whom the following criteria are met:</w:t>
      </w:r>
    </w:p>
    <w:p w:rsidR="003E334D" w:rsidRDefault="003E334D" w:rsidP="00E26742">
      <w:pPr>
        <w:ind w:left="720" w:right="56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98"/>
        <w:gridCol w:w="624"/>
      </w:tblGrid>
      <w:tr w:rsidR="007E072E" w:rsidTr="007E072E">
        <w:tc>
          <w:tcPr>
            <w:tcW w:w="4638" w:type="pct"/>
            <w:tcBorders>
              <w:top w:val="nil"/>
              <w:left w:val="nil"/>
              <w:right w:val="nil"/>
            </w:tcBorders>
          </w:tcPr>
          <w:p w:rsidR="007E072E" w:rsidRDefault="00B837B1" w:rsidP="00710195">
            <w:pPr>
              <w:ind w:right="567"/>
              <w:rPr>
                <w:rFonts w:ascii="Arial" w:hAnsi="Arial" w:cs="Arial"/>
                <w:sz w:val="22"/>
                <w:szCs w:val="22"/>
              </w:rPr>
            </w:pPr>
            <w:r>
              <w:rPr>
                <w:rFonts w:ascii="Arial" w:hAnsi="Arial" w:cs="Arial"/>
                <w:sz w:val="22"/>
                <w:szCs w:val="22"/>
              </w:rPr>
              <w:t>The patient has had severe and persistent symptoms despite treatment for at least twelve months.</w:t>
            </w:r>
          </w:p>
          <w:p w:rsidR="00B837B1" w:rsidRDefault="00B837B1" w:rsidP="00710195">
            <w:pPr>
              <w:ind w:right="567"/>
              <w:rPr>
                <w:rFonts w:ascii="Arial" w:hAnsi="Arial" w:cs="Arial"/>
                <w:sz w:val="22"/>
                <w:szCs w:val="22"/>
              </w:rPr>
            </w:pPr>
          </w:p>
        </w:tc>
        <w:tc>
          <w:tcPr>
            <w:tcW w:w="362" w:type="pct"/>
            <w:tcBorders>
              <w:top w:val="nil"/>
              <w:left w:val="nil"/>
              <w:right w:val="nil"/>
            </w:tcBorders>
          </w:tcPr>
          <w:p w:rsidR="007E072E" w:rsidRDefault="00F42CCA" w:rsidP="00E26742">
            <w:pPr>
              <w:ind w:right="851"/>
              <w:rPr>
                <w:rFonts w:ascii="Arial" w:hAnsi="Arial" w:cs="Arial"/>
                <w:sz w:val="22"/>
                <w:szCs w:val="22"/>
              </w:rPr>
            </w:pPr>
            <w:sdt>
              <w:sdtPr>
                <w:rPr>
                  <w:rFonts w:ascii="Arial" w:hAnsi="Arial" w:cs="Arial"/>
                  <w:sz w:val="22"/>
                  <w:szCs w:val="22"/>
                </w:rPr>
                <w:id w:val="-1519924029"/>
                <w14:checkbox>
                  <w14:checked w14:val="0"/>
                  <w14:checkedState w14:val="2612" w14:font="MS Gothic"/>
                  <w14:uncheckedState w14:val="2610" w14:font="MS Gothic"/>
                </w14:checkbox>
              </w:sdtPr>
              <w:sdtEndPr/>
              <w:sdtContent>
                <w:r w:rsidR="007E072E">
                  <w:rPr>
                    <w:rFonts w:ascii="MS Gothic" w:eastAsia="MS Gothic" w:hAnsi="MS Gothic" w:cs="Arial" w:hint="eastAsia"/>
                    <w:sz w:val="22"/>
                    <w:szCs w:val="22"/>
                  </w:rPr>
                  <w:t>☐</w:t>
                </w:r>
              </w:sdtContent>
            </w:sdt>
          </w:p>
        </w:tc>
      </w:tr>
      <w:tr w:rsidR="007E072E" w:rsidTr="007E072E">
        <w:tc>
          <w:tcPr>
            <w:tcW w:w="5000" w:type="pct"/>
            <w:gridSpan w:val="2"/>
          </w:tcPr>
          <w:p w:rsidR="007E072E" w:rsidRDefault="00B837B1" w:rsidP="00E26742">
            <w:pPr>
              <w:ind w:right="851"/>
              <w:rPr>
                <w:rFonts w:ascii="Arial" w:hAnsi="Arial" w:cs="Arial"/>
                <w:sz w:val="22"/>
                <w:szCs w:val="22"/>
              </w:rPr>
            </w:pPr>
            <w:r>
              <w:rPr>
                <w:rFonts w:ascii="Arial" w:hAnsi="Arial" w:cs="Arial"/>
                <w:sz w:val="22"/>
                <w:szCs w:val="22"/>
              </w:rPr>
              <w:t>Date of when first presented;</w:t>
            </w:r>
          </w:p>
          <w:p w:rsidR="007E072E" w:rsidRDefault="007E072E" w:rsidP="00E26742">
            <w:pPr>
              <w:ind w:right="851"/>
              <w:rPr>
                <w:rFonts w:ascii="Arial" w:hAnsi="Arial" w:cs="Arial"/>
                <w:sz w:val="22"/>
                <w:szCs w:val="22"/>
              </w:rPr>
            </w:pPr>
          </w:p>
          <w:p w:rsidR="007E072E" w:rsidRDefault="007E072E" w:rsidP="00E26742">
            <w:pPr>
              <w:ind w:right="851"/>
              <w:rPr>
                <w:rFonts w:ascii="Arial" w:hAnsi="Arial" w:cs="Arial"/>
                <w:sz w:val="22"/>
                <w:szCs w:val="22"/>
              </w:rPr>
            </w:pPr>
          </w:p>
        </w:tc>
      </w:tr>
    </w:tbl>
    <w:p w:rsidR="00B837B1" w:rsidRDefault="00B837B1" w:rsidP="00E26742">
      <w:pPr>
        <w:ind w:right="851"/>
        <w:rPr>
          <w:rFonts w:ascii="Arial" w:hAnsi="Arial" w:cs="Arial"/>
          <w:b/>
          <w:sz w:val="22"/>
          <w:szCs w:val="22"/>
        </w:rPr>
      </w:pPr>
      <w:r>
        <w:rPr>
          <w:rFonts w:ascii="Arial" w:hAnsi="Arial" w:cs="Arial"/>
          <w:b/>
          <w:sz w:val="22"/>
          <w:szCs w:val="22"/>
        </w:rPr>
        <w:t>AND</w:t>
      </w:r>
    </w:p>
    <w:p w:rsidR="0019475E" w:rsidRDefault="007E072E" w:rsidP="00E26742">
      <w:pPr>
        <w:ind w:right="851"/>
        <w:rPr>
          <w:rFonts w:ascii="Arial" w:hAnsi="Arial" w:cs="Arial"/>
          <w:sz w:val="22"/>
          <w:szCs w:val="22"/>
        </w:rPr>
      </w:pPr>
      <w:r>
        <w:rPr>
          <w:rFonts w:ascii="Arial" w:hAnsi="Arial" w:cs="Arial"/>
          <w:sz w:val="22"/>
          <w:szCs w:val="22"/>
        </w:rPr>
        <w:tab/>
      </w:r>
      <w:r>
        <w:rPr>
          <w:rFonts w:ascii="Arial" w:hAnsi="Arial" w:cs="Arial"/>
          <w:sz w:val="22"/>
          <w:szCs w:val="22"/>
        </w:rPr>
        <w:tab/>
      </w:r>
    </w:p>
    <w:tbl>
      <w:tblPr>
        <w:tblStyle w:val="TableGrid"/>
        <w:tblW w:w="5000" w:type="pct"/>
        <w:tblLayout w:type="fixed"/>
        <w:tblLook w:val="04A0" w:firstRow="1" w:lastRow="0" w:firstColumn="1" w:lastColumn="0" w:noHBand="0" w:noVBand="1"/>
      </w:tblPr>
      <w:tblGrid>
        <w:gridCol w:w="7998"/>
        <w:gridCol w:w="624"/>
      </w:tblGrid>
      <w:tr w:rsidR="007E072E" w:rsidTr="00AB040F">
        <w:tc>
          <w:tcPr>
            <w:tcW w:w="4638" w:type="pct"/>
            <w:tcBorders>
              <w:top w:val="nil"/>
              <w:left w:val="nil"/>
              <w:right w:val="nil"/>
            </w:tcBorders>
          </w:tcPr>
          <w:p w:rsidR="007E072E" w:rsidRDefault="00B837B1" w:rsidP="00710195">
            <w:pPr>
              <w:ind w:right="567"/>
              <w:rPr>
                <w:rFonts w:ascii="Arial" w:hAnsi="Arial" w:cs="Arial"/>
                <w:sz w:val="22"/>
                <w:szCs w:val="22"/>
              </w:rPr>
            </w:pPr>
            <w:r>
              <w:rPr>
                <w:rFonts w:ascii="Arial" w:hAnsi="Arial" w:cs="Arial"/>
                <w:sz w:val="22"/>
                <w:szCs w:val="22"/>
              </w:rPr>
              <w:t>Symptoms have significantly impacted on quality of life despite optimal medical therapy.</w:t>
            </w:r>
          </w:p>
          <w:p w:rsidR="00B837B1" w:rsidRDefault="00B837B1" w:rsidP="00710195">
            <w:pPr>
              <w:ind w:right="567"/>
              <w:rPr>
                <w:rFonts w:ascii="Arial" w:hAnsi="Arial" w:cs="Arial"/>
                <w:sz w:val="22"/>
                <w:szCs w:val="22"/>
              </w:rPr>
            </w:pPr>
          </w:p>
        </w:tc>
        <w:tc>
          <w:tcPr>
            <w:tcW w:w="362" w:type="pct"/>
            <w:tcBorders>
              <w:top w:val="nil"/>
              <w:left w:val="nil"/>
              <w:right w:val="nil"/>
            </w:tcBorders>
          </w:tcPr>
          <w:p w:rsidR="007E072E" w:rsidRDefault="00F42CCA" w:rsidP="00E26742">
            <w:pPr>
              <w:ind w:right="851"/>
              <w:rPr>
                <w:rFonts w:ascii="Arial" w:hAnsi="Arial" w:cs="Arial"/>
                <w:sz w:val="22"/>
                <w:szCs w:val="22"/>
              </w:rPr>
            </w:pPr>
            <w:sdt>
              <w:sdtPr>
                <w:rPr>
                  <w:rFonts w:ascii="Arial" w:hAnsi="Arial" w:cs="Arial"/>
                  <w:sz w:val="22"/>
                  <w:szCs w:val="22"/>
                </w:rPr>
                <w:id w:val="-1512365611"/>
                <w14:checkbox>
                  <w14:checked w14:val="0"/>
                  <w14:checkedState w14:val="2612" w14:font="MS Gothic"/>
                  <w14:uncheckedState w14:val="2610" w14:font="MS Gothic"/>
                </w14:checkbox>
              </w:sdtPr>
              <w:sdtEndPr/>
              <w:sdtContent>
                <w:r w:rsidR="002A4E6F">
                  <w:rPr>
                    <w:rFonts w:ascii="MS Gothic" w:eastAsia="MS Gothic" w:hAnsi="MS Gothic" w:cs="Arial" w:hint="eastAsia"/>
                    <w:sz w:val="22"/>
                    <w:szCs w:val="22"/>
                  </w:rPr>
                  <w:t>☐</w:t>
                </w:r>
              </w:sdtContent>
            </w:sdt>
          </w:p>
        </w:tc>
      </w:tr>
      <w:tr w:rsidR="007E072E" w:rsidTr="00AB040F">
        <w:tc>
          <w:tcPr>
            <w:tcW w:w="5000" w:type="pct"/>
            <w:gridSpan w:val="2"/>
          </w:tcPr>
          <w:p w:rsidR="007E072E" w:rsidRDefault="007E072E" w:rsidP="00E26742">
            <w:pPr>
              <w:ind w:right="851"/>
            </w:pPr>
            <w:r w:rsidRPr="00980876">
              <w:rPr>
                <w:rFonts w:ascii="Arial" w:hAnsi="Arial" w:cs="Arial"/>
                <w:sz w:val="22"/>
                <w:szCs w:val="22"/>
              </w:rPr>
              <w:t>P</w:t>
            </w:r>
            <w:r w:rsidR="00863682">
              <w:rPr>
                <w:rFonts w:ascii="Arial" w:hAnsi="Arial" w:cs="Arial"/>
                <w:sz w:val="22"/>
                <w:szCs w:val="22"/>
              </w:rPr>
              <w:t>lease</w:t>
            </w:r>
            <w:r w:rsidR="00B837B1">
              <w:rPr>
                <w:rFonts w:ascii="Arial" w:hAnsi="Arial" w:cs="Arial"/>
                <w:sz w:val="22"/>
                <w:szCs w:val="22"/>
              </w:rPr>
              <w:t xml:space="preserve"> detail the impact this has on </w:t>
            </w:r>
            <w:proofErr w:type="spellStart"/>
            <w:r w:rsidR="00B837B1">
              <w:rPr>
                <w:rFonts w:ascii="Arial" w:hAnsi="Arial" w:cs="Arial"/>
                <w:sz w:val="22"/>
                <w:szCs w:val="22"/>
              </w:rPr>
              <w:t>QoL</w:t>
            </w:r>
            <w:proofErr w:type="spellEnd"/>
          </w:p>
          <w:p w:rsidR="007E072E" w:rsidRDefault="007E072E" w:rsidP="00E26742">
            <w:pPr>
              <w:ind w:right="851"/>
              <w:rPr>
                <w:rFonts w:ascii="Arial" w:hAnsi="Arial" w:cs="Arial"/>
                <w:sz w:val="22"/>
                <w:szCs w:val="22"/>
              </w:rPr>
            </w:pPr>
          </w:p>
          <w:p w:rsidR="007E072E" w:rsidRDefault="007E072E" w:rsidP="00E26742">
            <w:pPr>
              <w:ind w:right="851"/>
              <w:rPr>
                <w:rFonts w:ascii="Arial" w:hAnsi="Arial" w:cs="Arial"/>
                <w:sz w:val="22"/>
                <w:szCs w:val="22"/>
              </w:rPr>
            </w:pPr>
          </w:p>
          <w:p w:rsidR="007E072E" w:rsidRDefault="007E072E" w:rsidP="00E26742">
            <w:pPr>
              <w:ind w:right="851"/>
              <w:rPr>
                <w:rFonts w:ascii="Arial" w:hAnsi="Arial" w:cs="Arial"/>
                <w:sz w:val="22"/>
                <w:szCs w:val="22"/>
              </w:rPr>
            </w:pPr>
          </w:p>
          <w:p w:rsidR="007E072E" w:rsidRDefault="007E072E" w:rsidP="00E26742">
            <w:pPr>
              <w:ind w:right="851"/>
              <w:rPr>
                <w:rFonts w:ascii="Arial" w:hAnsi="Arial" w:cs="Arial"/>
                <w:sz w:val="22"/>
                <w:szCs w:val="22"/>
              </w:rPr>
            </w:pPr>
          </w:p>
        </w:tc>
      </w:tr>
    </w:tbl>
    <w:p w:rsidR="00603ADE" w:rsidRPr="00B837B1" w:rsidRDefault="00B837B1" w:rsidP="00E26742">
      <w:pPr>
        <w:ind w:right="851"/>
        <w:rPr>
          <w:rFonts w:ascii="Arial" w:hAnsi="Arial" w:cs="Arial"/>
          <w:b/>
          <w:sz w:val="22"/>
          <w:szCs w:val="22"/>
        </w:rPr>
      </w:pPr>
      <w:r>
        <w:rPr>
          <w:rFonts w:ascii="Arial" w:hAnsi="Arial" w:cs="Arial"/>
          <w:b/>
          <w:sz w:val="22"/>
          <w:szCs w:val="22"/>
        </w:rPr>
        <w:t>AND</w:t>
      </w:r>
    </w:p>
    <w:p w:rsidR="00863682" w:rsidRDefault="00863682" w:rsidP="00E26742">
      <w:pPr>
        <w:ind w:right="851"/>
        <w:rPr>
          <w:rFonts w:ascii="Arial" w:hAnsi="Arial" w:cs="Arial"/>
          <w:sz w:val="22"/>
          <w:szCs w:val="22"/>
        </w:rPr>
      </w:pPr>
    </w:p>
    <w:tbl>
      <w:tblPr>
        <w:tblStyle w:val="TableGrid"/>
        <w:tblW w:w="5000" w:type="pct"/>
        <w:tblLayout w:type="fixed"/>
        <w:tblLook w:val="04A0" w:firstRow="1" w:lastRow="0" w:firstColumn="1" w:lastColumn="0" w:noHBand="0" w:noVBand="1"/>
      </w:tblPr>
      <w:tblGrid>
        <w:gridCol w:w="7998"/>
        <w:gridCol w:w="624"/>
      </w:tblGrid>
      <w:tr w:rsidR="00BD0C3A" w:rsidTr="0075244D">
        <w:tc>
          <w:tcPr>
            <w:tcW w:w="4638" w:type="pct"/>
            <w:tcBorders>
              <w:top w:val="nil"/>
              <w:left w:val="nil"/>
              <w:right w:val="nil"/>
            </w:tcBorders>
          </w:tcPr>
          <w:p w:rsidR="00BD0C3A" w:rsidRDefault="00BD0C3A" w:rsidP="0075244D">
            <w:pPr>
              <w:ind w:right="567"/>
              <w:rPr>
                <w:rFonts w:ascii="Arial" w:hAnsi="Arial" w:cs="Arial"/>
                <w:sz w:val="22"/>
                <w:szCs w:val="22"/>
              </w:rPr>
            </w:pPr>
            <w:r>
              <w:rPr>
                <w:rFonts w:ascii="Arial" w:hAnsi="Arial" w:cs="Arial"/>
                <w:sz w:val="22"/>
                <w:szCs w:val="22"/>
              </w:rPr>
              <w:t>The following medical therapies have been tried with inadequate response or are contra-indicated</w:t>
            </w:r>
          </w:p>
          <w:p w:rsidR="00BD0C3A" w:rsidRDefault="00BD0C3A" w:rsidP="0075244D">
            <w:pPr>
              <w:ind w:right="567"/>
              <w:rPr>
                <w:rFonts w:ascii="Arial" w:hAnsi="Arial" w:cs="Arial"/>
                <w:sz w:val="22"/>
                <w:szCs w:val="22"/>
              </w:rPr>
            </w:pPr>
          </w:p>
          <w:p w:rsidR="00BD0C3A" w:rsidRDefault="00BD0C3A" w:rsidP="0075244D">
            <w:pPr>
              <w:ind w:right="567"/>
              <w:rPr>
                <w:rFonts w:ascii="Arial" w:hAnsi="Arial" w:cs="Arial"/>
                <w:sz w:val="22"/>
                <w:szCs w:val="22"/>
              </w:rPr>
            </w:pPr>
            <w:r>
              <w:rPr>
                <w:rFonts w:ascii="Arial" w:hAnsi="Arial" w:cs="Arial"/>
                <w:sz w:val="22"/>
                <w:szCs w:val="22"/>
              </w:rPr>
              <w:t xml:space="preserve">Regular use of saline douching and nasal steroid </w:t>
            </w:r>
            <w:r w:rsidRPr="002A4E6F">
              <w:rPr>
                <w:rFonts w:ascii="Arial" w:hAnsi="Arial" w:cs="Arial"/>
                <w:b/>
                <w:sz w:val="22"/>
                <w:szCs w:val="22"/>
              </w:rPr>
              <w:t>AND</w:t>
            </w:r>
          </w:p>
        </w:tc>
        <w:tc>
          <w:tcPr>
            <w:tcW w:w="362" w:type="pct"/>
            <w:tcBorders>
              <w:top w:val="nil"/>
              <w:left w:val="nil"/>
              <w:right w:val="nil"/>
            </w:tcBorders>
          </w:tcPr>
          <w:p w:rsidR="00BD0C3A" w:rsidRDefault="00F42CCA" w:rsidP="002A4E6F">
            <w:pPr>
              <w:ind w:right="851"/>
              <w:rPr>
                <w:rFonts w:ascii="Arial" w:hAnsi="Arial" w:cs="Arial"/>
                <w:sz w:val="22"/>
                <w:szCs w:val="22"/>
              </w:rPr>
            </w:pPr>
            <w:sdt>
              <w:sdtPr>
                <w:rPr>
                  <w:rFonts w:ascii="Arial" w:hAnsi="Arial" w:cs="Arial"/>
                  <w:sz w:val="22"/>
                  <w:szCs w:val="22"/>
                </w:rPr>
                <w:id w:val="1253710634"/>
                <w14:checkbox>
                  <w14:checked w14:val="0"/>
                  <w14:checkedState w14:val="2612" w14:font="MS Gothic"/>
                  <w14:uncheckedState w14:val="2610" w14:font="MS Gothic"/>
                </w14:checkbox>
              </w:sdtPr>
              <w:sdtEndPr/>
              <w:sdtContent>
                <w:r w:rsidR="00BD0C3A">
                  <w:rPr>
                    <w:rFonts w:ascii="MS Gothic" w:eastAsia="MS Gothic" w:hAnsi="MS Gothic" w:cs="Arial" w:hint="eastAsia"/>
                    <w:sz w:val="22"/>
                    <w:szCs w:val="22"/>
                  </w:rPr>
                  <w:t>☐</w:t>
                </w:r>
              </w:sdtContent>
            </w:sdt>
            <w:r w:rsidR="006A10CB">
              <w:rPr>
                <w:rFonts w:ascii="Arial" w:hAnsi="Arial" w:cs="Arial"/>
                <w:sz w:val="22"/>
                <w:szCs w:val="22"/>
              </w:rPr>
              <w:t xml:space="preserve">  </w:t>
            </w:r>
          </w:p>
        </w:tc>
      </w:tr>
      <w:tr w:rsidR="00BD0C3A" w:rsidTr="0075244D">
        <w:tc>
          <w:tcPr>
            <w:tcW w:w="5000" w:type="pct"/>
            <w:gridSpan w:val="2"/>
          </w:tcPr>
          <w:p w:rsidR="00BD0C3A" w:rsidRPr="00980876" w:rsidRDefault="00BD0C3A" w:rsidP="0075244D">
            <w:pPr>
              <w:ind w:right="851"/>
              <w:rPr>
                <w:rFonts w:ascii="Arial" w:hAnsi="Arial" w:cs="Arial"/>
                <w:sz w:val="22"/>
                <w:szCs w:val="22"/>
              </w:rPr>
            </w:pPr>
            <w:r w:rsidRPr="00980876">
              <w:rPr>
                <w:rFonts w:ascii="Arial" w:hAnsi="Arial" w:cs="Arial"/>
                <w:sz w:val="22"/>
                <w:szCs w:val="22"/>
              </w:rPr>
              <w:t xml:space="preserve">Please </w:t>
            </w:r>
            <w:r>
              <w:rPr>
                <w:rFonts w:ascii="Arial" w:hAnsi="Arial" w:cs="Arial"/>
                <w:sz w:val="22"/>
                <w:szCs w:val="22"/>
              </w:rPr>
              <w:t>provide details of duration of use, response received or the contra-indication to its use;</w:t>
            </w:r>
          </w:p>
          <w:p w:rsidR="00BD0C3A" w:rsidRDefault="00BD0C3A" w:rsidP="0075244D">
            <w:pPr>
              <w:ind w:right="851"/>
              <w:rPr>
                <w:rFonts w:ascii="Arial" w:hAnsi="Arial" w:cs="Arial"/>
                <w:sz w:val="22"/>
                <w:szCs w:val="22"/>
              </w:rPr>
            </w:pPr>
          </w:p>
          <w:p w:rsidR="00BD0C3A" w:rsidRDefault="00BD0C3A" w:rsidP="0075244D">
            <w:pPr>
              <w:ind w:right="851"/>
              <w:rPr>
                <w:rFonts w:ascii="Arial" w:hAnsi="Arial" w:cs="Arial"/>
                <w:sz w:val="22"/>
                <w:szCs w:val="22"/>
              </w:rPr>
            </w:pPr>
          </w:p>
          <w:p w:rsidR="00BD0C3A" w:rsidRDefault="00BD0C3A" w:rsidP="0075244D">
            <w:pPr>
              <w:ind w:right="851"/>
              <w:rPr>
                <w:rFonts w:ascii="Arial" w:hAnsi="Arial" w:cs="Arial"/>
                <w:sz w:val="22"/>
                <w:szCs w:val="22"/>
              </w:rPr>
            </w:pPr>
          </w:p>
          <w:p w:rsidR="00BD0C3A" w:rsidRDefault="00BD0C3A" w:rsidP="0075244D">
            <w:pPr>
              <w:ind w:right="851"/>
              <w:rPr>
                <w:rFonts w:ascii="Arial" w:hAnsi="Arial" w:cs="Arial"/>
                <w:sz w:val="22"/>
                <w:szCs w:val="22"/>
              </w:rPr>
            </w:pPr>
          </w:p>
        </w:tc>
      </w:tr>
    </w:tbl>
    <w:p w:rsidR="00863682" w:rsidRDefault="00BD0C3A" w:rsidP="006A10CB">
      <w:pPr>
        <w:ind w:right="609"/>
        <w:rPr>
          <w:rFonts w:ascii="Arial" w:hAnsi="Arial" w:cs="Arial"/>
          <w:sz w:val="22"/>
          <w:szCs w:val="22"/>
        </w:rPr>
      </w:pPr>
      <w:r>
        <w:rPr>
          <w:rFonts w:ascii="Arial" w:hAnsi="Arial" w:cs="Arial"/>
          <w:sz w:val="22"/>
          <w:szCs w:val="22"/>
        </w:rPr>
        <w:lastRenderedPageBreak/>
        <w:t xml:space="preserve">For patients with nasal polyps attempts at medical polypectomy using a short course of prednisolone 0.5mg/kg and topical corticosteroid for 1 to 2 months, repeated at three-monthly intervals while patient shows response and provided there are no contra-indications </w:t>
      </w:r>
      <w:r w:rsidRPr="002A4E6F">
        <w:rPr>
          <w:rFonts w:ascii="Arial" w:hAnsi="Arial" w:cs="Arial"/>
          <w:b/>
          <w:sz w:val="22"/>
          <w:szCs w:val="22"/>
        </w:rPr>
        <w:t>AND/ OR</w:t>
      </w:r>
    </w:p>
    <w:p w:rsidR="002A4E6F" w:rsidRDefault="002A4E6F" w:rsidP="006A10CB">
      <w:pPr>
        <w:ind w:right="609"/>
        <w:rPr>
          <w:rFonts w:ascii="Arial" w:hAnsi="Arial" w:cs="Arial"/>
          <w:sz w:val="22"/>
          <w:szCs w:val="22"/>
        </w:rPr>
      </w:pPr>
    </w:p>
    <w:tbl>
      <w:tblPr>
        <w:tblStyle w:val="TableGrid"/>
        <w:tblW w:w="5000" w:type="pct"/>
        <w:tblLayout w:type="fixed"/>
        <w:tblLook w:val="04A0" w:firstRow="1" w:lastRow="0" w:firstColumn="1" w:lastColumn="0" w:noHBand="0" w:noVBand="1"/>
      </w:tblPr>
      <w:tblGrid>
        <w:gridCol w:w="8622"/>
      </w:tblGrid>
      <w:tr w:rsidR="00BD0C3A" w:rsidTr="00D27431">
        <w:tc>
          <w:tcPr>
            <w:tcW w:w="5000" w:type="pct"/>
          </w:tcPr>
          <w:p w:rsidR="00BD0C3A" w:rsidRPr="00980876" w:rsidRDefault="00BD0C3A" w:rsidP="00D27431">
            <w:pPr>
              <w:ind w:right="851"/>
              <w:rPr>
                <w:rFonts w:ascii="Arial" w:hAnsi="Arial" w:cs="Arial"/>
                <w:sz w:val="22"/>
                <w:szCs w:val="22"/>
              </w:rPr>
            </w:pPr>
            <w:r w:rsidRPr="00980876">
              <w:rPr>
                <w:rFonts w:ascii="Arial" w:hAnsi="Arial" w:cs="Arial"/>
                <w:sz w:val="22"/>
                <w:szCs w:val="22"/>
              </w:rPr>
              <w:t xml:space="preserve">Please </w:t>
            </w:r>
            <w:r>
              <w:rPr>
                <w:rFonts w:ascii="Arial" w:hAnsi="Arial" w:cs="Arial"/>
                <w:sz w:val="22"/>
                <w:szCs w:val="22"/>
              </w:rPr>
              <w:t>provide details of duration of use, response received or the contra-indication to its use;</w:t>
            </w: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tc>
      </w:tr>
    </w:tbl>
    <w:p w:rsidR="00863682" w:rsidRDefault="00863682" w:rsidP="00E26742">
      <w:pPr>
        <w:ind w:right="851"/>
        <w:rPr>
          <w:rFonts w:ascii="Arial" w:hAnsi="Arial" w:cs="Arial"/>
          <w:sz w:val="22"/>
          <w:szCs w:val="22"/>
        </w:rPr>
      </w:pPr>
    </w:p>
    <w:p w:rsidR="00BD0C3A" w:rsidRDefault="00BD0C3A" w:rsidP="00E26742">
      <w:pPr>
        <w:ind w:right="851"/>
        <w:rPr>
          <w:rFonts w:ascii="Arial" w:hAnsi="Arial" w:cs="Arial"/>
          <w:sz w:val="22"/>
          <w:szCs w:val="22"/>
        </w:rPr>
      </w:pPr>
      <w:proofErr w:type="gramStart"/>
      <w:r>
        <w:rPr>
          <w:rFonts w:ascii="Arial" w:hAnsi="Arial" w:cs="Arial"/>
          <w:sz w:val="22"/>
          <w:szCs w:val="22"/>
        </w:rPr>
        <w:t>For patients with chronic rhinosinusitis, treatment with oral antibiotic (macroli</w:t>
      </w:r>
      <w:r w:rsidR="002A4E6F">
        <w:rPr>
          <w:rFonts w:ascii="Arial" w:hAnsi="Arial" w:cs="Arial"/>
          <w:sz w:val="22"/>
          <w:szCs w:val="22"/>
        </w:rPr>
        <w:t>de) for three months + d</w:t>
      </w:r>
      <w:r>
        <w:rPr>
          <w:rFonts w:ascii="Arial" w:hAnsi="Arial" w:cs="Arial"/>
          <w:sz w:val="22"/>
          <w:szCs w:val="22"/>
        </w:rPr>
        <w:t>ouche + topical steroids.</w:t>
      </w:r>
      <w:proofErr w:type="gramEnd"/>
    </w:p>
    <w:p w:rsidR="002A4E6F" w:rsidRDefault="002A4E6F" w:rsidP="00E26742">
      <w:pPr>
        <w:ind w:right="851"/>
        <w:rPr>
          <w:rFonts w:ascii="Arial" w:hAnsi="Arial" w:cs="Arial"/>
          <w:sz w:val="22"/>
          <w:szCs w:val="22"/>
        </w:rPr>
      </w:pPr>
    </w:p>
    <w:tbl>
      <w:tblPr>
        <w:tblStyle w:val="TableGrid"/>
        <w:tblW w:w="5000" w:type="pct"/>
        <w:tblLayout w:type="fixed"/>
        <w:tblLook w:val="04A0" w:firstRow="1" w:lastRow="0" w:firstColumn="1" w:lastColumn="0" w:noHBand="0" w:noVBand="1"/>
      </w:tblPr>
      <w:tblGrid>
        <w:gridCol w:w="8622"/>
      </w:tblGrid>
      <w:tr w:rsidR="00BD0C3A" w:rsidTr="00D27431">
        <w:tc>
          <w:tcPr>
            <w:tcW w:w="5000" w:type="pct"/>
          </w:tcPr>
          <w:p w:rsidR="00BD0C3A" w:rsidRPr="00980876" w:rsidRDefault="00BD0C3A" w:rsidP="00D27431">
            <w:pPr>
              <w:ind w:right="851"/>
              <w:rPr>
                <w:rFonts w:ascii="Arial" w:hAnsi="Arial" w:cs="Arial"/>
                <w:sz w:val="22"/>
                <w:szCs w:val="22"/>
              </w:rPr>
            </w:pPr>
            <w:r w:rsidRPr="00980876">
              <w:rPr>
                <w:rFonts w:ascii="Arial" w:hAnsi="Arial" w:cs="Arial"/>
                <w:sz w:val="22"/>
                <w:szCs w:val="22"/>
              </w:rPr>
              <w:t xml:space="preserve">Please </w:t>
            </w:r>
            <w:r>
              <w:rPr>
                <w:rFonts w:ascii="Arial" w:hAnsi="Arial" w:cs="Arial"/>
                <w:sz w:val="22"/>
                <w:szCs w:val="22"/>
              </w:rPr>
              <w:t>provide details of duration of use, response received or the contra-indication to its use;</w:t>
            </w: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p w:rsidR="00BD0C3A" w:rsidRDefault="00BD0C3A" w:rsidP="00D27431">
            <w:pPr>
              <w:ind w:right="851"/>
              <w:rPr>
                <w:rFonts w:ascii="Arial" w:hAnsi="Arial" w:cs="Arial"/>
                <w:sz w:val="22"/>
                <w:szCs w:val="22"/>
              </w:rPr>
            </w:pPr>
          </w:p>
        </w:tc>
      </w:tr>
    </w:tbl>
    <w:p w:rsidR="00863682" w:rsidRDefault="00863682" w:rsidP="00E26742">
      <w:pPr>
        <w:ind w:right="851"/>
        <w:rPr>
          <w:rFonts w:ascii="Arial" w:hAnsi="Arial" w:cs="Arial"/>
          <w:sz w:val="22"/>
          <w:szCs w:val="22"/>
        </w:rPr>
      </w:pPr>
    </w:p>
    <w:p w:rsidR="000F026C" w:rsidRPr="00BE2174" w:rsidRDefault="000F026C" w:rsidP="000F026C">
      <w:pPr>
        <w:ind w:right="851"/>
        <w:rPr>
          <w:rFonts w:ascii="Arial" w:hAnsi="Arial" w:cs="Arial"/>
          <w:sz w:val="12"/>
          <w:szCs w:val="12"/>
        </w:rPr>
      </w:pPr>
    </w:p>
    <w:p w:rsidR="000F026C" w:rsidRPr="00BE2174" w:rsidRDefault="000F026C" w:rsidP="000F026C">
      <w:pPr>
        <w:rPr>
          <w:color w:val="1F497D"/>
          <w:sz w:val="12"/>
          <w:szCs w:val="12"/>
        </w:rPr>
      </w:pPr>
      <w:r w:rsidRPr="00BE2174">
        <w:rPr>
          <w:rFonts w:ascii="Arial" w:hAnsi="Arial" w:cs="Arial"/>
          <w:b/>
          <w:bCs/>
          <w:sz w:val="12"/>
          <w:szCs w:val="12"/>
        </w:rPr>
        <w:t>To the best of my knowledge I have given the most accurate and up to date information regarding this patient’s clinical condition.  I have ensured that I have obtained consent from my patient or their legal representative /guardian to share their information with SCW CSU for the purposes of enabling full consideration of this funding request. All applications for Prior Approval are recorded and applicants may be held accountable for the information they submit.</w:t>
      </w:r>
    </w:p>
    <w:p w:rsidR="000D698B" w:rsidRDefault="000D698B" w:rsidP="000D698B">
      <w:pPr>
        <w:rPr>
          <w:rFonts w:ascii="Arial" w:hAnsi="Arial" w:cs="Arial"/>
          <w:i/>
          <w:sz w:val="22"/>
          <w:szCs w:val="22"/>
        </w:rPr>
      </w:pPr>
    </w:p>
    <w:p w:rsidR="000D698B" w:rsidRPr="0063025E" w:rsidRDefault="000D698B" w:rsidP="000D698B">
      <w:pPr>
        <w:rPr>
          <w:rFonts w:ascii="Arial" w:hAnsi="Arial" w:cs="Arial"/>
          <w:sz w:val="22"/>
          <w:szCs w:val="22"/>
        </w:rPr>
      </w:pPr>
    </w:p>
    <w:p w:rsidR="000D698B" w:rsidRDefault="000D698B" w:rsidP="000D698B">
      <w:pPr>
        <w:rPr>
          <w:rFonts w:ascii="Arial" w:hAnsi="Arial" w:cs="Arial"/>
          <w:sz w:val="22"/>
          <w:szCs w:val="22"/>
        </w:rPr>
      </w:pPr>
      <w:r>
        <w:rPr>
          <w:rFonts w:ascii="Arial" w:hAnsi="Arial" w:cs="Arial"/>
          <w:sz w:val="22"/>
          <w:szCs w:val="22"/>
        </w:rPr>
        <w:t>Yours sincerely</w:t>
      </w: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Default="000D698B" w:rsidP="000D698B">
      <w:pPr>
        <w:rPr>
          <w:rFonts w:ascii="Arial" w:hAnsi="Arial" w:cs="Arial"/>
          <w:sz w:val="22"/>
          <w:szCs w:val="22"/>
        </w:rPr>
      </w:pPr>
    </w:p>
    <w:p w:rsidR="000D698B" w:rsidRPr="00A33D8E" w:rsidRDefault="00E26742" w:rsidP="000D698B">
      <w:pPr>
        <w:rPr>
          <w:rFonts w:ascii="Arial" w:hAnsi="Arial" w:cs="Arial"/>
          <w:sz w:val="22"/>
          <w:szCs w:val="22"/>
        </w:rPr>
      </w:pPr>
      <w:r>
        <w:rPr>
          <w:rFonts w:ascii="Arial" w:hAnsi="Arial" w:cs="Arial"/>
          <w:sz w:val="22"/>
          <w:szCs w:val="22"/>
        </w:rPr>
        <w:t>Referring/T</w:t>
      </w:r>
      <w:r w:rsidR="000D698B">
        <w:rPr>
          <w:rFonts w:ascii="Arial" w:hAnsi="Arial" w:cs="Arial"/>
          <w:sz w:val="22"/>
          <w:szCs w:val="22"/>
        </w:rPr>
        <w:t>reating clinician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D698B">
        <w:rPr>
          <w:rFonts w:ascii="Arial" w:hAnsi="Arial" w:cs="Arial"/>
          <w:sz w:val="22"/>
          <w:szCs w:val="22"/>
        </w:rPr>
        <w:t>GMC Number</w:t>
      </w:r>
    </w:p>
    <w:p w:rsidR="000D698B" w:rsidRDefault="000D698B" w:rsidP="00352D6E">
      <w:pPr>
        <w:rPr>
          <w:rFonts w:ascii="Arial" w:hAnsi="Arial" w:cs="Arial"/>
          <w:sz w:val="22"/>
          <w:szCs w:val="22"/>
        </w:rPr>
      </w:pPr>
    </w:p>
    <w:sectPr w:rsidR="000D698B" w:rsidSect="006A10CB">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CCA" w:rsidRDefault="00F42CCA" w:rsidP="006A10CB">
      <w:r>
        <w:separator/>
      </w:r>
    </w:p>
  </w:endnote>
  <w:endnote w:type="continuationSeparator" w:id="0">
    <w:p w:rsidR="00F42CCA" w:rsidRDefault="00F42CCA" w:rsidP="006A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CCA" w:rsidRDefault="00F42CCA" w:rsidP="006A10CB">
      <w:r>
        <w:separator/>
      </w:r>
    </w:p>
  </w:footnote>
  <w:footnote w:type="continuationSeparator" w:id="0">
    <w:p w:rsidR="00F42CCA" w:rsidRDefault="00F42CCA" w:rsidP="006A10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11D5"/>
    <w:multiLevelType w:val="hybridMultilevel"/>
    <w:tmpl w:val="98766D68"/>
    <w:lvl w:ilvl="0" w:tplc="05608E70">
      <w:start w:val="1"/>
      <w:numFmt w:val="bullet"/>
      <w:lvlText w:val=""/>
      <w:lvlJc w:val="left"/>
      <w:pPr>
        <w:tabs>
          <w:tab w:val="num" w:pos="284"/>
        </w:tabs>
        <w:ind w:left="284" w:hanging="284"/>
      </w:pPr>
      <w:rPr>
        <w:rFonts w:ascii="Symbol" w:hAnsi="Symbol" w:hint="default"/>
      </w:rPr>
    </w:lvl>
    <w:lvl w:ilvl="1" w:tplc="CEB0AB80">
      <w:start w:val="1"/>
      <w:numFmt w:val="bullet"/>
      <w:lvlText w:val=""/>
      <w:lvlJc w:val="left"/>
      <w:pPr>
        <w:tabs>
          <w:tab w:val="num" w:pos="2197"/>
        </w:tabs>
        <w:ind w:left="2197" w:hanging="397"/>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42242C3D"/>
    <w:multiLevelType w:val="hybridMultilevel"/>
    <w:tmpl w:val="9ED033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A1C0F"/>
    <w:multiLevelType w:val="hybridMultilevel"/>
    <w:tmpl w:val="6D4EC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427"/>
    <w:rsid w:val="00054FBA"/>
    <w:rsid w:val="000D698B"/>
    <w:rsid w:val="000F026C"/>
    <w:rsid w:val="0019475E"/>
    <w:rsid w:val="001E42AD"/>
    <w:rsid w:val="001F5E25"/>
    <w:rsid w:val="00230ABF"/>
    <w:rsid w:val="002A4E6F"/>
    <w:rsid w:val="003102A9"/>
    <w:rsid w:val="00352D6E"/>
    <w:rsid w:val="00364795"/>
    <w:rsid w:val="00394509"/>
    <w:rsid w:val="003A4E50"/>
    <w:rsid w:val="003E334D"/>
    <w:rsid w:val="00425655"/>
    <w:rsid w:val="00471682"/>
    <w:rsid w:val="004C09B5"/>
    <w:rsid w:val="004F42CA"/>
    <w:rsid w:val="00500FEE"/>
    <w:rsid w:val="00514526"/>
    <w:rsid w:val="00571073"/>
    <w:rsid w:val="00575D26"/>
    <w:rsid w:val="005968AB"/>
    <w:rsid w:val="005B4427"/>
    <w:rsid w:val="005D6BDC"/>
    <w:rsid w:val="00603ADE"/>
    <w:rsid w:val="00630A7A"/>
    <w:rsid w:val="00632988"/>
    <w:rsid w:val="0065568B"/>
    <w:rsid w:val="006A10CB"/>
    <w:rsid w:val="006F36F6"/>
    <w:rsid w:val="00710195"/>
    <w:rsid w:val="00765375"/>
    <w:rsid w:val="007B54BE"/>
    <w:rsid w:val="007E072E"/>
    <w:rsid w:val="007E5772"/>
    <w:rsid w:val="0080087D"/>
    <w:rsid w:val="00863682"/>
    <w:rsid w:val="008730F1"/>
    <w:rsid w:val="00980876"/>
    <w:rsid w:val="00A72FA2"/>
    <w:rsid w:val="00B169D2"/>
    <w:rsid w:val="00B529A6"/>
    <w:rsid w:val="00B837B1"/>
    <w:rsid w:val="00B93682"/>
    <w:rsid w:val="00BA4560"/>
    <w:rsid w:val="00BA5547"/>
    <w:rsid w:val="00BB0216"/>
    <w:rsid w:val="00BD04A4"/>
    <w:rsid w:val="00BD0C3A"/>
    <w:rsid w:val="00BD1747"/>
    <w:rsid w:val="00BF6CCC"/>
    <w:rsid w:val="00C60427"/>
    <w:rsid w:val="00CA45B1"/>
    <w:rsid w:val="00CC0191"/>
    <w:rsid w:val="00CE60FF"/>
    <w:rsid w:val="00D14565"/>
    <w:rsid w:val="00D40723"/>
    <w:rsid w:val="00D6103C"/>
    <w:rsid w:val="00D80F70"/>
    <w:rsid w:val="00E26742"/>
    <w:rsid w:val="00F42CCA"/>
    <w:rsid w:val="00F630D3"/>
    <w:rsid w:val="00FC1655"/>
    <w:rsid w:val="00FE3C06"/>
    <w:rsid w:val="00FF60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EndnoteText">
    <w:name w:val="endnote text"/>
    <w:basedOn w:val="Normal"/>
    <w:link w:val="EndnoteTextChar"/>
    <w:rsid w:val="006A10CB"/>
    <w:rPr>
      <w:sz w:val="20"/>
      <w:szCs w:val="20"/>
    </w:rPr>
  </w:style>
  <w:style w:type="character" w:customStyle="1" w:styleId="EndnoteTextChar">
    <w:name w:val="Endnote Text Char"/>
    <w:basedOn w:val="DefaultParagraphFont"/>
    <w:link w:val="EndnoteText"/>
    <w:rsid w:val="006A10CB"/>
  </w:style>
  <w:style w:type="character" w:styleId="EndnoteReference">
    <w:name w:val="endnote reference"/>
    <w:basedOn w:val="DefaultParagraphFont"/>
    <w:rsid w:val="006A10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C60427"/>
    <w:pPr>
      <w:jc w:val="both"/>
    </w:pPr>
    <w:rPr>
      <w:rFonts w:ascii="Arial" w:hAnsi="Arial" w:cs="Arial"/>
      <w:lang w:eastAsia="en-US"/>
    </w:rPr>
  </w:style>
  <w:style w:type="table" w:styleId="TableGrid">
    <w:name w:val="Table Grid"/>
    <w:basedOn w:val="TableNormal"/>
    <w:rsid w:val="00C60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3ADE"/>
    <w:rPr>
      <w:rFonts w:ascii="Tahoma" w:hAnsi="Tahoma" w:cs="Tahoma"/>
      <w:sz w:val="16"/>
      <w:szCs w:val="16"/>
    </w:rPr>
  </w:style>
  <w:style w:type="character" w:styleId="Hyperlink">
    <w:name w:val="Hyperlink"/>
    <w:rsid w:val="003E334D"/>
    <w:rPr>
      <w:color w:val="0000FF"/>
      <w:u w:val="single"/>
    </w:rPr>
  </w:style>
  <w:style w:type="paragraph" w:styleId="EndnoteText">
    <w:name w:val="endnote text"/>
    <w:basedOn w:val="Normal"/>
    <w:link w:val="EndnoteTextChar"/>
    <w:rsid w:val="006A10CB"/>
    <w:rPr>
      <w:sz w:val="20"/>
      <w:szCs w:val="20"/>
    </w:rPr>
  </w:style>
  <w:style w:type="character" w:customStyle="1" w:styleId="EndnoteTextChar">
    <w:name w:val="Endnote Text Char"/>
    <w:basedOn w:val="DefaultParagraphFont"/>
    <w:link w:val="EndnoteText"/>
    <w:rsid w:val="006A10CB"/>
  </w:style>
  <w:style w:type="character" w:styleId="EndnoteReference">
    <w:name w:val="endnote reference"/>
    <w:basedOn w:val="DefaultParagraphFont"/>
    <w:rsid w:val="006A10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scwcsu.ship.ifrrequest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2AB0B-57C4-4938-B895-B263B463A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Prior Approval Audit Tool</vt:lpstr>
    </vt:vector>
  </TitlesOfParts>
  <Company>HIS</Company>
  <LinksUpToDate>false</LinksUpToDate>
  <CharactersWithSpaces>2251</CharactersWithSpaces>
  <SharedDoc>false</SharedDoc>
  <HLinks>
    <vt:vector size="6" baseType="variant">
      <vt:variant>
        <vt:i4>4390975</vt:i4>
      </vt:variant>
      <vt:variant>
        <vt:i4>0</vt:i4>
      </vt:variant>
      <vt:variant>
        <vt:i4>0</vt:i4>
      </vt:variant>
      <vt:variant>
        <vt:i4>5</vt:i4>
      </vt:variant>
      <vt:variant>
        <vt:lpwstr>mailto:Southcsu.ifrs@nhs.net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Approval Audit Tool</dc:title>
  <dc:creator>HISIT</dc:creator>
  <cp:lastModifiedBy>Home</cp:lastModifiedBy>
  <cp:revision>3</cp:revision>
  <dcterms:created xsi:type="dcterms:W3CDTF">2018-05-25T09:14:00Z</dcterms:created>
  <dcterms:modified xsi:type="dcterms:W3CDTF">2019-11-19T17:32:00Z</dcterms:modified>
</cp:coreProperties>
</file>