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3" w:rsidRDefault="006D585D" w:rsidP="008E7667">
      <w:pPr>
        <w:spacing w:before="22" w:line="374" w:lineRule="auto"/>
        <w:ind w:left="1055" w:right="1057" w:hanging="6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Hampshire Hospitals NHS Foundation Trust Guidelines for Justification of Ultrasound Requests January 2019</w:t>
      </w:r>
    </w:p>
    <w:p w:rsidR="007A4763" w:rsidRDefault="007A4763">
      <w:pPr>
        <w:pStyle w:val="BodyText"/>
        <w:spacing w:before="1"/>
        <w:rPr>
          <w:rFonts w:ascii="Calibri"/>
          <w:b/>
          <w:sz w:val="42"/>
        </w:rPr>
      </w:pPr>
    </w:p>
    <w:p w:rsidR="007A4763" w:rsidRPr="00BB7A1B" w:rsidRDefault="006D585D">
      <w:pPr>
        <w:ind w:left="4656" w:right="4658"/>
        <w:jc w:val="center"/>
        <w:rPr>
          <w:rFonts w:ascii="Calibri"/>
          <w:sz w:val="24"/>
          <w:szCs w:val="24"/>
        </w:rPr>
      </w:pPr>
      <w:r w:rsidRPr="00BB7A1B">
        <w:rPr>
          <w:rFonts w:ascii="Calibri"/>
          <w:sz w:val="24"/>
          <w:szCs w:val="24"/>
        </w:rPr>
        <w:t>Based on:</w:t>
      </w:r>
    </w:p>
    <w:p w:rsidR="007A4763" w:rsidRPr="00BB7A1B" w:rsidRDefault="007A4763">
      <w:pPr>
        <w:pStyle w:val="BodyText"/>
        <w:spacing w:before="5"/>
        <w:rPr>
          <w:rFonts w:ascii="Calibri"/>
        </w:rPr>
      </w:pPr>
    </w:p>
    <w:p w:rsidR="007A4763" w:rsidRPr="00BB7A1B" w:rsidRDefault="006D585D">
      <w:pPr>
        <w:spacing w:line="283" w:lineRule="auto"/>
        <w:ind w:left="781" w:right="1081"/>
        <w:rPr>
          <w:rFonts w:ascii="Calibri"/>
          <w:sz w:val="24"/>
          <w:szCs w:val="24"/>
        </w:rPr>
      </w:pPr>
      <w:r w:rsidRPr="00BB7A1B">
        <w:rPr>
          <w:rFonts w:ascii="Calibri"/>
          <w:color w:val="0000FF"/>
          <w:sz w:val="24"/>
          <w:szCs w:val="24"/>
          <w:u w:val="single" w:color="0000FF"/>
        </w:rPr>
        <w:t>British Medical Ultrasound Society; Recommended Good Practice</w:t>
      </w:r>
      <w:r w:rsidRPr="00BB7A1B">
        <w:rPr>
          <w:rFonts w:ascii="Calibri"/>
          <w:color w:val="0000FF"/>
          <w:sz w:val="24"/>
          <w:szCs w:val="24"/>
        </w:rPr>
        <w:t xml:space="preserve"> </w:t>
      </w:r>
      <w:r w:rsidRPr="00BB7A1B">
        <w:rPr>
          <w:rFonts w:ascii="Calibri"/>
          <w:color w:val="0000FF"/>
          <w:sz w:val="24"/>
          <w:szCs w:val="24"/>
          <w:u w:val="single" w:color="0000FF"/>
        </w:rPr>
        <w:t>Guidelines for Justification of Ultrasound Requests, November 2016</w:t>
      </w:r>
    </w:p>
    <w:p w:rsidR="007A4763" w:rsidRPr="00BB7A1B" w:rsidRDefault="007A4763">
      <w:pPr>
        <w:pStyle w:val="BodyText"/>
        <w:rPr>
          <w:rFonts w:ascii="Calibri"/>
        </w:rPr>
      </w:pPr>
    </w:p>
    <w:p w:rsidR="007A4763" w:rsidRPr="00BB7A1B" w:rsidRDefault="006D585D">
      <w:pPr>
        <w:spacing w:before="111"/>
        <w:ind w:left="781"/>
        <w:rPr>
          <w:rFonts w:ascii="Calibri"/>
          <w:sz w:val="24"/>
          <w:szCs w:val="24"/>
        </w:rPr>
      </w:pPr>
      <w:r w:rsidRPr="00BB7A1B">
        <w:rPr>
          <w:rFonts w:ascii="Calibri"/>
          <w:sz w:val="24"/>
          <w:szCs w:val="24"/>
        </w:rPr>
        <w:t xml:space="preserve">Royal College of Radiologists; </w:t>
      </w:r>
      <w:proofErr w:type="spellStart"/>
      <w:r w:rsidRPr="00BB7A1B">
        <w:rPr>
          <w:rFonts w:ascii="Calibri"/>
          <w:sz w:val="24"/>
          <w:szCs w:val="24"/>
        </w:rPr>
        <w:t>iRefer</w:t>
      </w:r>
      <w:proofErr w:type="spellEnd"/>
      <w:r w:rsidRPr="00BB7A1B">
        <w:rPr>
          <w:rFonts w:ascii="Calibri"/>
          <w:sz w:val="24"/>
          <w:szCs w:val="24"/>
        </w:rPr>
        <w:t>, 8</w:t>
      </w:r>
      <w:r w:rsidRPr="00BB7A1B">
        <w:rPr>
          <w:rFonts w:ascii="Calibri"/>
          <w:sz w:val="24"/>
          <w:szCs w:val="24"/>
          <w:vertAlign w:val="superscript"/>
        </w:rPr>
        <w:t>th</w:t>
      </w:r>
      <w:r w:rsidRPr="00BB7A1B">
        <w:rPr>
          <w:rFonts w:ascii="Calibri"/>
          <w:sz w:val="24"/>
          <w:szCs w:val="24"/>
        </w:rPr>
        <w:t xml:space="preserve"> Edition, 2018</w:t>
      </w:r>
    </w:p>
    <w:p w:rsidR="008E7667" w:rsidRPr="00BB7A1B" w:rsidRDefault="008E7667">
      <w:pPr>
        <w:spacing w:before="1"/>
        <w:ind w:left="781"/>
        <w:rPr>
          <w:sz w:val="24"/>
          <w:szCs w:val="24"/>
        </w:rPr>
      </w:pPr>
    </w:p>
    <w:p w:rsidR="007A4763" w:rsidRPr="00BB7A1B" w:rsidRDefault="00AE28D0">
      <w:pPr>
        <w:spacing w:before="1"/>
        <w:ind w:left="781"/>
        <w:rPr>
          <w:rFonts w:ascii="Calibri"/>
          <w:sz w:val="24"/>
          <w:szCs w:val="24"/>
        </w:rPr>
      </w:pPr>
      <w:hyperlink r:id="rId7">
        <w:r w:rsidR="006D585D" w:rsidRPr="00BB7A1B">
          <w:rPr>
            <w:rFonts w:ascii="Calibri"/>
            <w:color w:val="0000FF"/>
            <w:sz w:val="24"/>
            <w:szCs w:val="24"/>
            <w:u w:val="single" w:color="0000FF"/>
          </w:rPr>
          <w:t>National Institute for Health and Care Excellence Guidelines</w:t>
        </w:r>
      </w:hyperlink>
    </w:p>
    <w:p w:rsidR="007A4763" w:rsidRPr="00BB7A1B" w:rsidRDefault="007A4763">
      <w:pPr>
        <w:pStyle w:val="BodyText"/>
        <w:rPr>
          <w:rFonts w:ascii="Calibri"/>
        </w:rPr>
      </w:pPr>
    </w:p>
    <w:p w:rsidR="007A4763" w:rsidRPr="00BB7A1B" w:rsidRDefault="006D585D">
      <w:pPr>
        <w:spacing w:before="186"/>
        <w:ind w:left="781"/>
        <w:rPr>
          <w:rFonts w:ascii="Calibri"/>
          <w:sz w:val="24"/>
          <w:szCs w:val="24"/>
        </w:rPr>
      </w:pPr>
      <w:r w:rsidRPr="00BB7A1B">
        <w:rPr>
          <w:rFonts w:ascii="Calibri"/>
          <w:sz w:val="24"/>
          <w:szCs w:val="24"/>
        </w:rPr>
        <w:t>HHFT Multidisciplinary Clinical Consultation</w:t>
      </w:r>
    </w:p>
    <w:p w:rsidR="008E7667" w:rsidRPr="00BB7A1B" w:rsidRDefault="008E7667">
      <w:pPr>
        <w:ind w:left="781"/>
        <w:rPr>
          <w:rFonts w:ascii="Calibri"/>
          <w:sz w:val="24"/>
          <w:szCs w:val="24"/>
        </w:rPr>
      </w:pPr>
    </w:p>
    <w:p w:rsidR="007A4763" w:rsidRDefault="006D585D">
      <w:pPr>
        <w:ind w:left="781"/>
        <w:rPr>
          <w:rFonts w:ascii="Calibri"/>
          <w:sz w:val="24"/>
          <w:szCs w:val="24"/>
        </w:rPr>
      </w:pPr>
      <w:r w:rsidRPr="00BB7A1B">
        <w:rPr>
          <w:rFonts w:ascii="Calibri"/>
          <w:sz w:val="24"/>
          <w:szCs w:val="24"/>
        </w:rPr>
        <w:t>CCG Clinical Consultation</w:t>
      </w:r>
    </w:p>
    <w:p w:rsidR="006D585D" w:rsidRDefault="006D585D">
      <w:pPr>
        <w:ind w:left="781"/>
        <w:rPr>
          <w:rFonts w:ascii="Calibri"/>
          <w:sz w:val="24"/>
          <w:szCs w:val="24"/>
        </w:rPr>
      </w:pPr>
    </w:p>
    <w:p w:rsidR="007A4763" w:rsidRPr="006D585D" w:rsidRDefault="006D585D" w:rsidP="006D585D">
      <w:pPr>
        <w:pStyle w:val="Heading2"/>
      </w:pPr>
      <w:r>
        <w:t>CONTENTS</w:t>
      </w:r>
    </w:p>
    <w:p w:rsidR="006D585D" w:rsidRDefault="006D585D">
      <w:pPr>
        <w:pStyle w:val="TOC2"/>
        <w:tabs>
          <w:tab w:val="right" w:leader="dot" w:pos="10580"/>
        </w:tabs>
        <w:rPr>
          <w:rFonts w:asciiTheme="minorHAnsi" w:eastAsiaTheme="minorEastAsia" w:hAnsiTheme="minorHAnsi" w:cstheme="minorBidi"/>
          <w:noProof/>
          <w:lang w:bidi="ar-SA"/>
        </w:rPr>
      </w:pPr>
      <w:r>
        <w:rPr>
          <w:rFonts w:ascii="Calibri"/>
          <w:sz w:val="31"/>
        </w:rPr>
        <w:fldChar w:fldCharType="begin"/>
      </w:r>
      <w:r>
        <w:rPr>
          <w:rFonts w:ascii="Calibri"/>
          <w:sz w:val="31"/>
        </w:rPr>
        <w:instrText xml:space="preserve"> TOC \o "1-2" \h \z \u </w:instrText>
      </w:r>
      <w:r>
        <w:rPr>
          <w:rFonts w:ascii="Calibri"/>
          <w:sz w:val="31"/>
        </w:rPr>
        <w:fldChar w:fldCharType="separate"/>
      </w:r>
      <w:hyperlink w:anchor="_Toc533072052" w:history="1">
        <w:r w:rsidRPr="0048406C">
          <w:rPr>
            <w:rStyle w:val="Hyperlink"/>
            <w:noProof/>
          </w:rPr>
          <w:t>ABDOMEN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_Toc533072052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585D" w:rsidRDefault="00AE28D0">
      <w:pPr>
        <w:pStyle w:val="TOC2"/>
        <w:tabs>
          <w:tab w:val="right" w:leader="dot" w:pos="1058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33072053" w:history="1">
        <w:r w:rsidR="006D585D" w:rsidRPr="0048406C">
          <w:rPr>
            <w:rStyle w:val="Hyperlink"/>
            <w:noProof/>
          </w:rPr>
          <w:t>RENAL TRACT</w:t>
        </w:r>
        <w:r w:rsidR="006D585D">
          <w:rPr>
            <w:noProof/>
            <w:webHidden/>
          </w:rPr>
          <w:tab/>
        </w:r>
        <w:r w:rsidR="006D585D">
          <w:rPr>
            <w:noProof/>
            <w:webHidden/>
          </w:rPr>
          <w:fldChar w:fldCharType="begin"/>
        </w:r>
        <w:r w:rsidR="006D585D">
          <w:rPr>
            <w:noProof/>
            <w:webHidden/>
          </w:rPr>
          <w:instrText xml:space="preserve"> PAGEREF _Toc533072053 \h </w:instrText>
        </w:r>
        <w:r w:rsidR="006D585D">
          <w:rPr>
            <w:noProof/>
            <w:webHidden/>
          </w:rPr>
        </w:r>
        <w:r w:rsidR="006D585D">
          <w:rPr>
            <w:noProof/>
            <w:webHidden/>
          </w:rPr>
          <w:fldChar w:fldCharType="separate"/>
        </w:r>
        <w:r w:rsidR="006D585D">
          <w:rPr>
            <w:noProof/>
            <w:webHidden/>
          </w:rPr>
          <w:t>4</w:t>
        </w:r>
        <w:r w:rsidR="006D585D">
          <w:rPr>
            <w:noProof/>
            <w:webHidden/>
          </w:rPr>
          <w:fldChar w:fldCharType="end"/>
        </w:r>
      </w:hyperlink>
    </w:p>
    <w:p w:rsidR="006D585D" w:rsidRDefault="00AE28D0">
      <w:pPr>
        <w:pStyle w:val="TOC2"/>
        <w:tabs>
          <w:tab w:val="right" w:leader="dot" w:pos="1058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33072054" w:history="1">
        <w:r w:rsidR="006D585D" w:rsidRPr="0048406C">
          <w:rPr>
            <w:rStyle w:val="Hyperlink"/>
            <w:noProof/>
          </w:rPr>
          <w:t>SMALL PARTS</w:t>
        </w:r>
        <w:r w:rsidR="006D585D">
          <w:rPr>
            <w:noProof/>
            <w:webHidden/>
          </w:rPr>
          <w:tab/>
        </w:r>
        <w:r w:rsidR="006D585D">
          <w:rPr>
            <w:noProof/>
            <w:webHidden/>
          </w:rPr>
          <w:fldChar w:fldCharType="begin"/>
        </w:r>
        <w:r w:rsidR="006D585D">
          <w:rPr>
            <w:noProof/>
            <w:webHidden/>
          </w:rPr>
          <w:instrText xml:space="preserve"> PAGEREF _Toc533072054 \h </w:instrText>
        </w:r>
        <w:r w:rsidR="006D585D">
          <w:rPr>
            <w:noProof/>
            <w:webHidden/>
          </w:rPr>
        </w:r>
        <w:r w:rsidR="006D585D">
          <w:rPr>
            <w:noProof/>
            <w:webHidden/>
          </w:rPr>
          <w:fldChar w:fldCharType="separate"/>
        </w:r>
        <w:r w:rsidR="006D585D">
          <w:rPr>
            <w:noProof/>
            <w:webHidden/>
          </w:rPr>
          <w:t>5</w:t>
        </w:r>
        <w:r w:rsidR="006D585D">
          <w:rPr>
            <w:noProof/>
            <w:webHidden/>
          </w:rPr>
          <w:fldChar w:fldCharType="end"/>
        </w:r>
      </w:hyperlink>
    </w:p>
    <w:p w:rsidR="006D585D" w:rsidRDefault="00AE28D0">
      <w:pPr>
        <w:pStyle w:val="TOC2"/>
        <w:tabs>
          <w:tab w:val="right" w:leader="dot" w:pos="1058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33072055" w:history="1">
        <w:r w:rsidR="006D585D" w:rsidRPr="0048406C">
          <w:rPr>
            <w:rStyle w:val="Hyperlink"/>
            <w:noProof/>
          </w:rPr>
          <w:t>HEAD &amp; NECK</w:t>
        </w:r>
        <w:r w:rsidR="006D585D">
          <w:rPr>
            <w:noProof/>
            <w:webHidden/>
          </w:rPr>
          <w:tab/>
        </w:r>
        <w:r w:rsidR="006D585D">
          <w:rPr>
            <w:noProof/>
            <w:webHidden/>
          </w:rPr>
          <w:fldChar w:fldCharType="begin"/>
        </w:r>
        <w:r w:rsidR="006D585D">
          <w:rPr>
            <w:noProof/>
            <w:webHidden/>
          </w:rPr>
          <w:instrText xml:space="preserve"> PAGEREF _Toc533072055 \h </w:instrText>
        </w:r>
        <w:r w:rsidR="006D585D">
          <w:rPr>
            <w:noProof/>
            <w:webHidden/>
          </w:rPr>
        </w:r>
        <w:r w:rsidR="006D585D">
          <w:rPr>
            <w:noProof/>
            <w:webHidden/>
          </w:rPr>
          <w:fldChar w:fldCharType="separate"/>
        </w:r>
        <w:r w:rsidR="006D585D">
          <w:rPr>
            <w:noProof/>
            <w:webHidden/>
          </w:rPr>
          <w:t>6</w:t>
        </w:r>
        <w:r w:rsidR="006D585D">
          <w:rPr>
            <w:noProof/>
            <w:webHidden/>
          </w:rPr>
          <w:fldChar w:fldCharType="end"/>
        </w:r>
      </w:hyperlink>
    </w:p>
    <w:p w:rsidR="006D585D" w:rsidRDefault="00AE28D0">
      <w:pPr>
        <w:pStyle w:val="TOC2"/>
        <w:tabs>
          <w:tab w:val="right" w:leader="dot" w:pos="1058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33072056" w:history="1">
        <w:r w:rsidR="006D585D" w:rsidRPr="0048406C">
          <w:rPr>
            <w:rStyle w:val="Hyperlink"/>
            <w:noProof/>
          </w:rPr>
          <w:t>GYNAECOLOGY</w:t>
        </w:r>
        <w:r w:rsidR="006D585D">
          <w:rPr>
            <w:noProof/>
            <w:webHidden/>
          </w:rPr>
          <w:tab/>
        </w:r>
        <w:r w:rsidR="006D585D">
          <w:rPr>
            <w:noProof/>
            <w:webHidden/>
          </w:rPr>
          <w:fldChar w:fldCharType="begin"/>
        </w:r>
        <w:r w:rsidR="006D585D">
          <w:rPr>
            <w:noProof/>
            <w:webHidden/>
          </w:rPr>
          <w:instrText xml:space="preserve"> PAGEREF _Toc533072056 \h </w:instrText>
        </w:r>
        <w:r w:rsidR="006D585D">
          <w:rPr>
            <w:noProof/>
            <w:webHidden/>
          </w:rPr>
        </w:r>
        <w:r w:rsidR="006D585D">
          <w:rPr>
            <w:noProof/>
            <w:webHidden/>
          </w:rPr>
          <w:fldChar w:fldCharType="separate"/>
        </w:r>
        <w:r w:rsidR="006D585D">
          <w:rPr>
            <w:noProof/>
            <w:webHidden/>
          </w:rPr>
          <w:t>7</w:t>
        </w:r>
        <w:r w:rsidR="006D585D">
          <w:rPr>
            <w:noProof/>
            <w:webHidden/>
          </w:rPr>
          <w:fldChar w:fldCharType="end"/>
        </w:r>
      </w:hyperlink>
    </w:p>
    <w:p w:rsidR="006D585D" w:rsidRDefault="00AE28D0">
      <w:pPr>
        <w:pStyle w:val="TOC2"/>
        <w:tabs>
          <w:tab w:val="right" w:leader="dot" w:pos="1058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33072057" w:history="1">
        <w:r w:rsidR="006D585D" w:rsidRPr="0048406C">
          <w:rPr>
            <w:rStyle w:val="Hyperlink"/>
            <w:noProof/>
          </w:rPr>
          <w:t>MSK</w:t>
        </w:r>
        <w:r w:rsidR="006D585D">
          <w:rPr>
            <w:noProof/>
            <w:webHidden/>
          </w:rPr>
          <w:tab/>
        </w:r>
        <w:r w:rsidR="006D585D">
          <w:rPr>
            <w:noProof/>
            <w:webHidden/>
          </w:rPr>
          <w:fldChar w:fldCharType="begin"/>
        </w:r>
        <w:r w:rsidR="006D585D">
          <w:rPr>
            <w:noProof/>
            <w:webHidden/>
          </w:rPr>
          <w:instrText xml:space="preserve"> PAGEREF _Toc533072057 \h </w:instrText>
        </w:r>
        <w:r w:rsidR="006D585D">
          <w:rPr>
            <w:noProof/>
            <w:webHidden/>
          </w:rPr>
        </w:r>
        <w:r w:rsidR="006D585D">
          <w:rPr>
            <w:noProof/>
            <w:webHidden/>
          </w:rPr>
          <w:fldChar w:fldCharType="separate"/>
        </w:r>
        <w:r w:rsidR="006D585D">
          <w:rPr>
            <w:noProof/>
            <w:webHidden/>
          </w:rPr>
          <w:t>9</w:t>
        </w:r>
        <w:r w:rsidR="006D585D">
          <w:rPr>
            <w:noProof/>
            <w:webHidden/>
          </w:rPr>
          <w:fldChar w:fldCharType="end"/>
        </w:r>
      </w:hyperlink>
    </w:p>
    <w:p w:rsidR="006D585D" w:rsidRDefault="00AE28D0">
      <w:pPr>
        <w:pStyle w:val="TOC1"/>
        <w:tabs>
          <w:tab w:val="right" w:leader="dot" w:pos="1058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33072059" w:history="1">
        <w:r w:rsidR="006D585D" w:rsidRPr="0048406C">
          <w:rPr>
            <w:rStyle w:val="Hyperlink"/>
            <w:noProof/>
          </w:rPr>
          <w:t>FOOTNOTES</w:t>
        </w:r>
        <w:r w:rsidR="006D585D">
          <w:rPr>
            <w:noProof/>
            <w:webHidden/>
          </w:rPr>
          <w:tab/>
        </w:r>
        <w:r w:rsidR="006D585D">
          <w:rPr>
            <w:noProof/>
            <w:webHidden/>
          </w:rPr>
          <w:fldChar w:fldCharType="begin"/>
        </w:r>
        <w:r w:rsidR="006D585D">
          <w:rPr>
            <w:noProof/>
            <w:webHidden/>
          </w:rPr>
          <w:instrText xml:space="preserve"> PAGEREF _Toc533072059 \h </w:instrText>
        </w:r>
        <w:r w:rsidR="006D585D">
          <w:rPr>
            <w:noProof/>
            <w:webHidden/>
          </w:rPr>
        </w:r>
        <w:r w:rsidR="006D585D">
          <w:rPr>
            <w:noProof/>
            <w:webHidden/>
          </w:rPr>
          <w:fldChar w:fldCharType="separate"/>
        </w:r>
        <w:r w:rsidR="006D585D">
          <w:rPr>
            <w:noProof/>
            <w:webHidden/>
          </w:rPr>
          <w:t>10</w:t>
        </w:r>
        <w:r w:rsidR="006D585D">
          <w:rPr>
            <w:noProof/>
            <w:webHidden/>
          </w:rPr>
          <w:fldChar w:fldCharType="end"/>
        </w:r>
      </w:hyperlink>
    </w:p>
    <w:p w:rsidR="00BB7A1B" w:rsidRDefault="006D585D">
      <w:pPr>
        <w:rPr>
          <w:rFonts w:ascii="Calibri"/>
          <w:sz w:val="31"/>
        </w:rPr>
      </w:pPr>
      <w:r>
        <w:rPr>
          <w:rFonts w:ascii="Calibri"/>
          <w:sz w:val="31"/>
        </w:rPr>
        <w:fldChar w:fldCharType="end"/>
      </w:r>
    </w:p>
    <w:p w:rsidR="008E7667" w:rsidRDefault="008E7667">
      <w:pPr>
        <w:rPr>
          <w:rFonts w:ascii="Calibri"/>
          <w:sz w:val="31"/>
        </w:rPr>
      </w:pPr>
    </w:p>
    <w:p w:rsidR="006D585D" w:rsidRPr="006D585D" w:rsidRDefault="006D585D" w:rsidP="006D585D">
      <w:pPr>
        <w:pStyle w:val="Heading1"/>
        <w:spacing w:before="99" w:line="237" w:lineRule="auto"/>
        <w:ind w:right="1081"/>
        <w:rPr>
          <w:sz w:val="22"/>
          <w:szCs w:val="22"/>
        </w:rPr>
      </w:pPr>
      <w:r w:rsidRPr="006D585D">
        <w:rPr>
          <w:sz w:val="22"/>
          <w:szCs w:val="22"/>
        </w:rPr>
        <w:t>For indications that fall outside these guidelines, radiologist discussion is recommended on the Hot Hub telephone number:</w:t>
      </w:r>
    </w:p>
    <w:p w:rsidR="008E7667" w:rsidRPr="006D585D" w:rsidRDefault="008E7667">
      <w:pPr>
        <w:rPr>
          <w:rFonts w:ascii="Calibri"/>
        </w:rPr>
      </w:pPr>
    </w:p>
    <w:p w:rsidR="006D585D" w:rsidRPr="006D585D" w:rsidRDefault="006D585D" w:rsidP="006D585D">
      <w:pPr>
        <w:pStyle w:val="BodyText"/>
        <w:tabs>
          <w:tab w:val="left" w:pos="5827"/>
        </w:tabs>
        <w:spacing w:line="489" w:lineRule="auto"/>
        <w:ind w:left="781" w:right="3245"/>
        <w:rPr>
          <w:sz w:val="22"/>
          <w:szCs w:val="22"/>
        </w:rPr>
      </w:pPr>
      <w:proofErr w:type="gramStart"/>
      <w:r w:rsidRPr="006D585D">
        <w:rPr>
          <w:spacing w:val="-7"/>
          <w:sz w:val="22"/>
          <w:szCs w:val="22"/>
        </w:rPr>
        <w:t xml:space="preserve">Basingstoke  </w:t>
      </w:r>
      <w:r w:rsidRPr="006D585D">
        <w:rPr>
          <w:spacing w:val="-5"/>
          <w:sz w:val="22"/>
          <w:szCs w:val="22"/>
        </w:rPr>
        <w:t>and</w:t>
      </w:r>
      <w:proofErr w:type="gramEnd"/>
      <w:r w:rsidRPr="006D585D">
        <w:rPr>
          <w:spacing w:val="-5"/>
          <w:sz w:val="22"/>
          <w:szCs w:val="22"/>
        </w:rPr>
        <w:t xml:space="preserve">  </w:t>
      </w:r>
      <w:r w:rsidRPr="006D585D">
        <w:rPr>
          <w:spacing w:val="-7"/>
          <w:sz w:val="22"/>
          <w:szCs w:val="22"/>
        </w:rPr>
        <w:t>North</w:t>
      </w:r>
      <w:r w:rsidRPr="006D585D">
        <w:rPr>
          <w:spacing w:val="-1"/>
          <w:sz w:val="22"/>
          <w:szCs w:val="22"/>
        </w:rPr>
        <w:t xml:space="preserve"> </w:t>
      </w:r>
      <w:r w:rsidRPr="006D585D">
        <w:rPr>
          <w:spacing w:val="-7"/>
          <w:sz w:val="22"/>
          <w:szCs w:val="22"/>
        </w:rPr>
        <w:t>Hampshire</w:t>
      </w:r>
      <w:r w:rsidRPr="006D585D">
        <w:rPr>
          <w:spacing w:val="47"/>
          <w:sz w:val="22"/>
          <w:szCs w:val="22"/>
        </w:rPr>
        <w:t xml:space="preserve"> </w:t>
      </w:r>
      <w:r w:rsidRPr="006D585D">
        <w:rPr>
          <w:spacing w:val="-8"/>
          <w:sz w:val="22"/>
          <w:szCs w:val="22"/>
        </w:rPr>
        <w:t>Hospital</w:t>
      </w:r>
      <w:r w:rsidRPr="006D585D">
        <w:rPr>
          <w:spacing w:val="-8"/>
          <w:sz w:val="22"/>
          <w:szCs w:val="22"/>
        </w:rPr>
        <w:tab/>
      </w:r>
      <w:r w:rsidRPr="006D585D">
        <w:rPr>
          <w:spacing w:val="-6"/>
          <w:sz w:val="22"/>
          <w:szCs w:val="22"/>
        </w:rPr>
        <w:t xml:space="preserve">01256 </w:t>
      </w:r>
      <w:r w:rsidRPr="006D585D">
        <w:rPr>
          <w:spacing w:val="-7"/>
          <w:sz w:val="22"/>
          <w:szCs w:val="22"/>
        </w:rPr>
        <w:t xml:space="preserve">313982 </w:t>
      </w:r>
      <w:r w:rsidRPr="006D585D">
        <w:rPr>
          <w:spacing w:val="-6"/>
          <w:sz w:val="22"/>
          <w:szCs w:val="22"/>
        </w:rPr>
        <w:t xml:space="preserve">Royal  </w:t>
      </w:r>
      <w:r w:rsidRPr="006D585D">
        <w:rPr>
          <w:spacing w:val="-7"/>
          <w:sz w:val="22"/>
          <w:szCs w:val="22"/>
        </w:rPr>
        <w:t>Hampshire</w:t>
      </w:r>
      <w:r w:rsidRPr="006D585D">
        <w:rPr>
          <w:spacing w:val="15"/>
          <w:sz w:val="22"/>
          <w:szCs w:val="22"/>
        </w:rPr>
        <w:t xml:space="preserve"> </w:t>
      </w:r>
      <w:r w:rsidRPr="006D585D">
        <w:rPr>
          <w:spacing w:val="-6"/>
          <w:sz w:val="22"/>
          <w:szCs w:val="22"/>
        </w:rPr>
        <w:t>County</w:t>
      </w:r>
      <w:r w:rsidRPr="006D585D">
        <w:rPr>
          <w:spacing w:val="43"/>
          <w:sz w:val="22"/>
          <w:szCs w:val="22"/>
        </w:rPr>
        <w:t xml:space="preserve"> </w:t>
      </w:r>
      <w:r w:rsidRPr="006D585D">
        <w:rPr>
          <w:spacing w:val="-8"/>
          <w:sz w:val="22"/>
          <w:szCs w:val="22"/>
        </w:rPr>
        <w:t>Hospital</w:t>
      </w:r>
      <w:r w:rsidRPr="006D585D">
        <w:rPr>
          <w:spacing w:val="-8"/>
          <w:sz w:val="22"/>
          <w:szCs w:val="22"/>
        </w:rPr>
        <w:tab/>
      </w:r>
      <w:r w:rsidRPr="006D585D">
        <w:rPr>
          <w:spacing w:val="-6"/>
          <w:sz w:val="22"/>
          <w:szCs w:val="22"/>
        </w:rPr>
        <w:t>01962</w:t>
      </w:r>
      <w:r w:rsidRPr="006D585D">
        <w:rPr>
          <w:spacing w:val="40"/>
          <w:sz w:val="22"/>
          <w:szCs w:val="22"/>
        </w:rPr>
        <w:t xml:space="preserve"> </w:t>
      </w:r>
      <w:r w:rsidRPr="006D585D">
        <w:rPr>
          <w:spacing w:val="-7"/>
          <w:sz w:val="22"/>
          <w:szCs w:val="22"/>
        </w:rPr>
        <w:t>825000</w:t>
      </w:r>
    </w:p>
    <w:p w:rsidR="008E7667" w:rsidRDefault="008E7667">
      <w:pPr>
        <w:rPr>
          <w:rFonts w:ascii="Calibri"/>
          <w:sz w:val="31"/>
        </w:rPr>
        <w:sectPr w:rsidR="008E7667">
          <w:type w:val="continuous"/>
          <w:pgSz w:w="11910" w:h="16840"/>
          <w:pgMar w:top="1580" w:right="660" w:bottom="280" w:left="6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233"/>
        <w:gridCol w:w="1975"/>
      </w:tblGrid>
      <w:tr w:rsidR="007A4763">
        <w:trPr>
          <w:trHeight w:val="835"/>
        </w:trPr>
        <w:tc>
          <w:tcPr>
            <w:tcW w:w="3129" w:type="dxa"/>
            <w:shd w:val="clear" w:color="auto" w:fill="DBE4F0"/>
          </w:tcPr>
          <w:p w:rsidR="007A4763" w:rsidRDefault="007A476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7A4763" w:rsidRDefault="006D585D">
            <w:pPr>
              <w:pStyle w:val="TableParagraph"/>
              <w:ind w:left="9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INDICATION</w:t>
            </w:r>
          </w:p>
        </w:tc>
        <w:tc>
          <w:tcPr>
            <w:tcW w:w="5233" w:type="dxa"/>
            <w:shd w:val="clear" w:color="auto" w:fill="DBE4F0"/>
          </w:tcPr>
          <w:p w:rsidR="007A4763" w:rsidRDefault="007A476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7A4763" w:rsidRDefault="006D585D">
            <w:pPr>
              <w:pStyle w:val="TableParagraph"/>
              <w:ind w:left="515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</w:t>
            </w:r>
          </w:p>
        </w:tc>
        <w:tc>
          <w:tcPr>
            <w:tcW w:w="1975" w:type="dxa"/>
            <w:shd w:val="clear" w:color="auto" w:fill="DBE4F0"/>
          </w:tcPr>
          <w:p w:rsidR="007A4763" w:rsidRDefault="007A476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7A4763" w:rsidRDefault="006D585D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JUSTIFIED</w:t>
            </w:r>
          </w:p>
        </w:tc>
      </w:tr>
      <w:tr w:rsidR="007A4763">
        <w:trPr>
          <w:trHeight w:val="561"/>
        </w:trPr>
        <w:tc>
          <w:tcPr>
            <w:tcW w:w="3129" w:type="dxa"/>
            <w:shd w:val="clear" w:color="auto" w:fill="D9D9D9"/>
          </w:tcPr>
          <w:p w:rsidR="007A4763" w:rsidRPr="008E7667" w:rsidRDefault="006D585D" w:rsidP="008E7667">
            <w:pPr>
              <w:pStyle w:val="Heading2"/>
            </w:pPr>
            <w:bookmarkStart w:id="0" w:name="_Toc533072052"/>
            <w:r w:rsidRPr="008E7667">
              <w:t>ABDOMEN</w:t>
            </w:r>
            <w:bookmarkEnd w:id="0"/>
          </w:p>
        </w:tc>
        <w:tc>
          <w:tcPr>
            <w:tcW w:w="5233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1642"/>
        </w:trPr>
        <w:tc>
          <w:tcPr>
            <w:tcW w:w="3129" w:type="dxa"/>
          </w:tcPr>
          <w:p w:rsidR="007A4763" w:rsidRDefault="006D585D" w:rsidP="00D722A6">
            <w:pPr>
              <w:pStyle w:val="Heading3"/>
            </w:pPr>
            <w:r>
              <w:t>Significant unintended</w:t>
            </w:r>
            <w:r w:rsidR="00D722A6">
              <w:t xml:space="preserve"> </w:t>
            </w:r>
            <w:r>
              <w:t>weight loss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For  suspicion of malignancy,  as per NICE</w:t>
            </w:r>
          </w:p>
          <w:p w:rsidR="007A4763" w:rsidRDefault="006D585D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guidelines  consider 2WW referral and CT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before="1" w:line="237" w:lineRule="auto"/>
              <w:ind w:left="121" w:right="115"/>
              <w:rPr>
                <w:sz w:val="24"/>
              </w:rPr>
            </w:pPr>
            <w:r>
              <w:rPr>
                <w:sz w:val="24"/>
              </w:rPr>
              <w:t xml:space="preserve">If direct access CT is not available and a 2WW is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being triggered, Ultrasound is justified</w:t>
            </w:r>
          </w:p>
        </w:tc>
        <w:tc>
          <w:tcPr>
            <w:tcW w:w="1975" w:type="dxa"/>
          </w:tcPr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835"/>
        </w:trPr>
        <w:tc>
          <w:tcPr>
            <w:tcW w:w="3129" w:type="dxa"/>
          </w:tcPr>
          <w:p w:rsidR="007A4763" w:rsidRDefault="006D585D" w:rsidP="00B01E5F">
            <w:pPr>
              <w:pStyle w:val="Heading3"/>
            </w:pPr>
            <w:r>
              <w:t>Iron deficiency anaemia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Ultrasound not indicated unless there is a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specific clinical question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3025"/>
        </w:trPr>
        <w:tc>
          <w:tcPr>
            <w:tcW w:w="3129" w:type="dxa"/>
          </w:tcPr>
          <w:p w:rsidR="007A4763" w:rsidRDefault="006D585D" w:rsidP="00B01E5F">
            <w:pPr>
              <w:pStyle w:val="Heading3"/>
            </w:pPr>
            <w:r>
              <w:t>‘Altered</w:t>
            </w:r>
            <w:r>
              <w:rPr>
                <w:spacing w:val="50"/>
              </w:rPr>
              <w:t xml:space="preserve"> </w:t>
            </w:r>
            <w:r>
              <w:t>LFTs’</w:t>
            </w:r>
          </w:p>
          <w:p w:rsidR="007A4763" w:rsidRDefault="007A476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7A4763" w:rsidRDefault="006D585D" w:rsidP="00D722A6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6FC0"/>
                <w:sz w:val="24"/>
              </w:rPr>
              <w:t>See footnote  1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Please include more information</w:t>
            </w:r>
          </w:p>
          <w:p w:rsidR="007A4763" w:rsidRDefault="007A4763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spacing w:before="1" w:line="275" w:lineRule="exact"/>
              <w:ind w:left="121"/>
              <w:rPr>
                <w:sz w:val="24"/>
              </w:rPr>
            </w:pPr>
            <w:r>
              <w:rPr>
                <w:b/>
                <w:sz w:val="24"/>
              </w:rPr>
              <w:t xml:space="preserve">Duration </w:t>
            </w:r>
            <w:r>
              <w:rPr>
                <w:sz w:val="24"/>
              </w:rPr>
              <w:t>of abnormality.</w:t>
            </w:r>
          </w:p>
          <w:p w:rsidR="007A4763" w:rsidRDefault="006D585D">
            <w:pPr>
              <w:pStyle w:val="TableParagraph"/>
              <w:spacing w:before="1"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>A single episode of mild – moderate elevation does not justify an US scan</w:t>
            </w:r>
          </w:p>
          <w:p w:rsidR="007A4763" w:rsidRDefault="007A4763">
            <w:pPr>
              <w:pStyle w:val="TableParagraph"/>
              <w:spacing w:before="4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b/>
                <w:sz w:val="24"/>
              </w:rPr>
              <w:t xml:space="preserve">Specific LFT </w:t>
            </w:r>
            <w:r>
              <w:rPr>
                <w:sz w:val="24"/>
              </w:rPr>
              <w:t>results must be included or be available on ICE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Include a </w:t>
            </w:r>
            <w:r>
              <w:rPr>
                <w:b/>
                <w:sz w:val="24"/>
              </w:rPr>
              <w:t xml:space="preserve">specific diagnosis </w:t>
            </w:r>
            <w:r>
              <w:rPr>
                <w:sz w:val="24"/>
              </w:rPr>
              <w:t>to be considered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542"/>
        </w:trPr>
        <w:tc>
          <w:tcPr>
            <w:tcW w:w="3129" w:type="dxa"/>
            <w:tcBorders>
              <w:bottom w:val="nil"/>
            </w:tcBorders>
          </w:tcPr>
          <w:p w:rsidR="007A4763" w:rsidRDefault="006D585D" w:rsidP="00D722A6">
            <w:pPr>
              <w:pStyle w:val="Heading3"/>
            </w:pPr>
            <w:r>
              <w:t>‘Raised ALT’ (other LFTs</w:t>
            </w:r>
            <w:r w:rsidR="00D722A6">
              <w:t xml:space="preserve"> </w:t>
            </w:r>
            <w:r>
              <w:t>normal)</w:t>
            </w:r>
          </w:p>
        </w:tc>
        <w:tc>
          <w:tcPr>
            <w:tcW w:w="5233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Please include more information</w:t>
            </w:r>
          </w:p>
        </w:tc>
        <w:tc>
          <w:tcPr>
            <w:tcW w:w="1975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965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7A4763" w:rsidRDefault="006D585D" w:rsidP="00D722A6">
            <w:pPr>
              <w:pStyle w:val="TableParagraph"/>
              <w:spacing w:before="1"/>
              <w:ind w:left="91" w:right="46"/>
              <w:rPr>
                <w:sz w:val="24"/>
              </w:rPr>
            </w:pPr>
            <w:r>
              <w:rPr>
                <w:color w:val="006FC0"/>
                <w:sz w:val="24"/>
              </w:rPr>
              <w:t>See footnote 1</w:t>
            </w: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line="237" w:lineRule="auto"/>
              <w:ind w:left="121" w:right="35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US </w:t>
            </w:r>
            <w:r>
              <w:rPr>
                <w:sz w:val="24"/>
              </w:rPr>
              <w:t xml:space="preserve">is </w:t>
            </w:r>
            <w:r>
              <w:rPr>
                <w:b/>
                <w:spacing w:val="-3"/>
                <w:sz w:val="24"/>
              </w:rPr>
              <w:t xml:space="preserve">NOT </w:t>
            </w:r>
            <w:r>
              <w:rPr>
                <w:spacing w:val="-5"/>
                <w:sz w:val="24"/>
              </w:rPr>
              <w:t xml:space="preserve">justified </w:t>
            </w:r>
            <w:r>
              <w:rPr>
                <w:sz w:val="24"/>
              </w:rPr>
              <w:t xml:space="preserve">in </w:t>
            </w:r>
            <w:r>
              <w:rPr>
                <w:spacing w:val="-7"/>
                <w:sz w:val="24"/>
              </w:rPr>
              <w:t xml:space="preserve">patients </w:t>
            </w:r>
            <w:r>
              <w:rPr>
                <w:spacing w:val="-8"/>
                <w:sz w:val="24"/>
              </w:rPr>
              <w:t xml:space="preserve">with </w:t>
            </w:r>
            <w:r>
              <w:rPr>
                <w:sz w:val="24"/>
              </w:rPr>
              <w:t xml:space="preserve">risk </w:t>
            </w:r>
            <w:r>
              <w:rPr>
                <w:spacing w:val="-3"/>
                <w:sz w:val="24"/>
              </w:rPr>
              <w:t xml:space="preserve">factors </w:t>
            </w:r>
            <w:r>
              <w:rPr>
                <w:spacing w:val="-5"/>
                <w:sz w:val="24"/>
              </w:rPr>
              <w:t xml:space="preserve">(DM, obesity,  </w:t>
            </w:r>
            <w:r>
              <w:rPr>
                <w:spacing w:val="-7"/>
                <w:sz w:val="24"/>
              </w:rPr>
              <w:t xml:space="preserve">statins  </w:t>
            </w:r>
            <w:r>
              <w:rPr>
                <w:sz w:val="24"/>
              </w:rPr>
              <w:t xml:space="preserve">&amp; </w:t>
            </w:r>
            <w:r>
              <w:rPr>
                <w:spacing w:val="-7"/>
                <w:sz w:val="24"/>
              </w:rPr>
              <w:t xml:space="preserve">other  </w:t>
            </w:r>
            <w:r>
              <w:rPr>
                <w:spacing w:val="-6"/>
                <w:sz w:val="24"/>
              </w:rPr>
              <w:t xml:space="preserve">medications </w:t>
            </w:r>
            <w:r>
              <w:rPr>
                <w:spacing w:val="-4"/>
                <w:sz w:val="24"/>
              </w:rPr>
              <w:t xml:space="preserve">which </w:t>
            </w:r>
            <w:r>
              <w:rPr>
                <w:sz w:val="24"/>
              </w:rPr>
              <w:t xml:space="preserve">affect </w:t>
            </w:r>
            <w:r>
              <w:rPr>
                <w:spacing w:val="-6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liver)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828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21" w:right="635"/>
              <w:rPr>
                <w:sz w:val="24"/>
              </w:rPr>
            </w:pPr>
            <w:r>
              <w:rPr>
                <w:sz w:val="24"/>
              </w:rPr>
              <w:t xml:space="preserve">US is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justified for a single episode of raised ALT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1383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 w:line="242" w:lineRule="auto"/>
              <w:ind w:left="121" w:right="115"/>
              <w:rPr>
                <w:sz w:val="24"/>
              </w:rPr>
            </w:pPr>
            <w:r>
              <w:rPr>
                <w:sz w:val="24"/>
              </w:rPr>
              <w:t xml:space="preserve">US is justified if raised ALT (&gt;120) is </w:t>
            </w:r>
            <w:r>
              <w:rPr>
                <w:b/>
                <w:sz w:val="24"/>
              </w:rPr>
              <w:t xml:space="preserve">persistent </w:t>
            </w:r>
            <w:r>
              <w:rPr>
                <w:sz w:val="24"/>
              </w:rPr>
              <w:t>(3-6 months) despite following weight loss and altered lifestyle guidance and/or change in medication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978"/>
        </w:trPr>
        <w:tc>
          <w:tcPr>
            <w:tcW w:w="3129" w:type="dxa"/>
            <w:tcBorders>
              <w:top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4"/>
              <w:ind w:left="121" w:right="35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US </w:t>
            </w:r>
            <w:r>
              <w:rPr>
                <w:sz w:val="24"/>
              </w:rPr>
              <w:t xml:space="preserve">is </w:t>
            </w:r>
            <w:r>
              <w:rPr>
                <w:spacing w:val="-5"/>
                <w:sz w:val="24"/>
              </w:rPr>
              <w:t xml:space="preserve">justified </w:t>
            </w:r>
            <w:r>
              <w:rPr>
                <w:sz w:val="24"/>
              </w:rPr>
              <w:t xml:space="preserve">if </w:t>
            </w:r>
            <w:r>
              <w:rPr>
                <w:spacing w:val="-7"/>
                <w:sz w:val="24"/>
              </w:rPr>
              <w:t xml:space="preserve">persistently </w:t>
            </w:r>
            <w:r>
              <w:rPr>
                <w:spacing w:val="-3"/>
                <w:sz w:val="24"/>
              </w:rPr>
              <w:t xml:space="preserve">raised </w:t>
            </w:r>
            <w:r>
              <w:rPr>
                <w:spacing w:val="-4"/>
                <w:sz w:val="24"/>
              </w:rPr>
              <w:t xml:space="preserve">ALT &gt;120 </w:t>
            </w:r>
            <w:r>
              <w:rPr>
                <w:sz w:val="24"/>
              </w:rPr>
              <w:t xml:space="preserve">(3 </w:t>
            </w:r>
            <w:r>
              <w:rPr>
                <w:spacing w:val="-9"/>
                <w:sz w:val="24"/>
              </w:rPr>
              <w:t xml:space="preserve">months)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other </w:t>
            </w:r>
            <w:r>
              <w:rPr>
                <w:sz w:val="24"/>
              </w:rPr>
              <w:t>risk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factors</w:t>
            </w:r>
          </w:p>
        </w:tc>
        <w:tc>
          <w:tcPr>
            <w:tcW w:w="1975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369"/>
        </w:trPr>
        <w:tc>
          <w:tcPr>
            <w:tcW w:w="3129" w:type="dxa"/>
          </w:tcPr>
          <w:p w:rsidR="007A4763" w:rsidRDefault="006D585D" w:rsidP="00B01E5F">
            <w:pPr>
              <w:pStyle w:val="Heading3"/>
            </w:pPr>
            <w:r>
              <w:t>Jaundice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Any jaundice requires an ultrasound</w:t>
            </w:r>
          </w:p>
          <w:p w:rsidR="007A4763" w:rsidRDefault="007A476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spacing w:line="237" w:lineRule="auto"/>
              <w:ind w:left="121" w:right="115"/>
              <w:rPr>
                <w:sz w:val="24"/>
              </w:rPr>
            </w:pPr>
            <w:r>
              <w:rPr>
                <w:sz w:val="24"/>
              </w:rPr>
              <w:t xml:space="preserve">New onset painless jaundice requires urgent US and </w:t>
            </w:r>
            <w:r>
              <w:rPr>
                <w:b/>
                <w:sz w:val="24"/>
              </w:rPr>
              <w:t xml:space="preserve">2WW </w:t>
            </w:r>
            <w:r>
              <w:rPr>
                <w:sz w:val="24"/>
              </w:rPr>
              <w:t>referral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561"/>
        </w:trPr>
        <w:tc>
          <w:tcPr>
            <w:tcW w:w="3129" w:type="dxa"/>
          </w:tcPr>
          <w:p w:rsidR="007A4763" w:rsidRDefault="006D585D" w:rsidP="00B01E5F">
            <w:pPr>
              <w:pStyle w:val="Heading3"/>
            </w:pPr>
            <w:r>
              <w:t>Pain (RUQ)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Assessment of gallbladder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561"/>
        </w:trPr>
        <w:tc>
          <w:tcPr>
            <w:tcW w:w="3129" w:type="dxa"/>
          </w:tcPr>
          <w:p w:rsidR="007A4763" w:rsidRDefault="006D585D" w:rsidP="00B01E5F">
            <w:pPr>
              <w:pStyle w:val="Heading3"/>
            </w:pPr>
            <w:r>
              <w:t>Suspected GB disease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Pain plus fatty intolerance and/or dyspepsia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</w:tbl>
    <w:p w:rsidR="007A4763" w:rsidRDefault="007A4763">
      <w:pPr>
        <w:spacing w:line="257" w:lineRule="exact"/>
        <w:rPr>
          <w:sz w:val="24"/>
        </w:rPr>
        <w:sectPr w:rsidR="007A4763">
          <w:pgSz w:w="11910" w:h="16840"/>
          <w:pgMar w:top="860" w:right="660" w:bottom="280" w:left="6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233"/>
        <w:gridCol w:w="1975"/>
      </w:tblGrid>
      <w:tr w:rsidR="007A4763">
        <w:trPr>
          <w:trHeight w:val="2478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GB polyp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37" w:lineRule="auto"/>
              <w:ind w:left="121" w:right="1335"/>
              <w:rPr>
                <w:sz w:val="24"/>
              </w:rPr>
            </w:pPr>
            <w:r>
              <w:rPr>
                <w:sz w:val="24"/>
              </w:rPr>
              <w:t>1 or multiple &lt;6mm NO routine f/up recommended</w:t>
            </w:r>
          </w:p>
          <w:p w:rsidR="007A4763" w:rsidRDefault="007A476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line="244" w:lineRule="auto"/>
              <w:ind w:left="121" w:right="115"/>
              <w:rPr>
                <w:sz w:val="24"/>
              </w:rPr>
            </w:pPr>
            <w:r>
              <w:rPr>
                <w:sz w:val="24"/>
              </w:rPr>
              <w:t xml:space="preserve">6-10mm f/up US at 6 months. If no change, annual US for 5 yrs. If no change at 5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  <w:u w:val="single"/>
              </w:rPr>
              <w:t xml:space="preserve"> STOP</w:t>
            </w:r>
            <w:r>
              <w:rPr>
                <w:sz w:val="24"/>
              </w:rPr>
              <w:t xml:space="preserve">. Any </w:t>
            </w:r>
            <w:r>
              <w:rPr>
                <w:b/>
                <w:sz w:val="24"/>
              </w:rPr>
              <w:t xml:space="preserve">size increase </w:t>
            </w:r>
            <w:r>
              <w:rPr>
                <w:sz w:val="24"/>
              </w:rPr>
              <w:t>refer to HPB</w:t>
            </w:r>
          </w:p>
          <w:p w:rsidR="007A4763" w:rsidRDefault="007A476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&gt;10mm refer HPB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715" w:lineRule="auto"/>
              <w:ind w:left="108" w:right="103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NO </w:t>
            </w: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spacing w:before="8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4135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Bloating/ abdominal distension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As the only symptom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244" w:lineRule="auto"/>
              <w:ind w:left="121" w:right="35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Persistent </w:t>
            </w:r>
            <w:r>
              <w:rPr>
                <w:spacing w:val="-4"/>
                <w:sz w:val="24"/>
              </w:rPr>
              <w:t xml:space="preserve">or frequent </w:t>
            </w:r>
            <w:r>
              <w:rPr>
                <w:sz w:val="24"/>
              </w:rPr>
              <w:t xml:space="preserve">occurring </w:t>
            </w:r>
            <w:r>
              <w:rPr>
                <w:spacing w:val="-9"/>
                <w:sz w:val="24"/>
              </w:rPr>
              <w:t xml:space="preserve">over </w:t>
            </w:r>
            <w:r>
              <w:rPr>
                <w:spacing w:val="-4"/>
                <w:sz w:val="24"/>
              </w:rPr>
              <w:t xml:space="preserve">12 </w:t>
            </w:r>
            <w:r>
              <w:rPr>
                <w:spacing w:val="-7"/>
                <w:sz w:val="24"/>
              </w:rPr>
              <w:t xml:space="preserve">times </w:t>
            </w:r>
            <w:r>
              <w:rPr>
                <w:sz w:val="24"/>
              </w:rPr>
              <w:t xml:space="preserve">in </w:t>
            </w:r>
            <w:r>
              <w:rPr>
                <w:spacing w:val="-5"/>
                <w:sz w:val="24"/>
              </w:rPr>
              <w:t xml:space="preserve">one </w:t>
            </w:r>
            <w:r>
              <w:rPr>
                <w:spacing w:val="-9"/>
                <w:sz w:val="24"/>
              </w:rPr>
              <w:t xml:space="preserve">month, </w:t>
            </w:r>
            <w:r>
              <w:rPr>
                <w:sz w:val="24"/>
              </w:rPr>
              <w:t xml:space="preserve">in </w:t>
            </w:r>
            <w:r>
              <w:rPr>
                <w:spacing w:val="-10"/>
                <w:sz w:val="24"/>
              </w:rPr>
              <w:t xml:space="preserve">women </w:t>
            </w:r>
            <w:r>
              <w:rPr>
                <w:spacing w:val="-6"/>
                <w:sz w:val="24"/>
              </w:rPr>
              <w:t xml:space="preserve">especially  </w:t>
            </w:r>
            <w:r>
              <w:rPr>
                <w:spacing w:val="-9"/>
                <w:sz w:val="24"/>
              </w:rPr>
              <w:t xml:space="preserve">over  </w:t>
            </w:r>
            <w:r>
              <w:rPr>
                <w:spacing w:val="-4"/>
                <w:sz w:val="24"/>
              </w:rPr>
              <w:t xml:space="preserve">50 </w:t>
            </w:r>
            <w:r>
              <w:rPr>
                <w:spacing w:val="-8"/>
                <w:sz w:val="24"/>
              </w:rPr>
              <w:t xml:space="preserve">with </w:t>
            </w:r>
            <w:r>
              <w:rPr>
                <w:spacing w:val="-7"/>
                <w:sz w:val="24"/>
              </w:rPr>
              <w:t xml:space="preserve">other </w:t>
            </w:r>
            <w:r>
              <w:rPr>
                <w:spacing w:val="-8"/>
                <w:sz w:val="24"/>
              </w:rPr>
              <w:t xml:space="preserve">symptoms </w:t>
            </w:r>
            <w:r>
              <w:rPr>
                <w:spacing w:val="-4"/>
                <w:sz w:val="24"/>
              </w:rPr>
              <w:t xml:space="preserve">or </w:t>
            </w:r>
            <w:r>
              <w:rPr>
                <w:spacing w:val="-3"/>
                <w:sz w:val="24"/>
              </w:rPr>
              <w:t>raised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Ca125</w:t>
            </w:r>
          </w:p>
          <w:p w:rsidR="007A4763" w:rsidRDefault="007A4763">
            <w:pPr>
              <w:pStyle w:val="TableParagraph"/>
              <w:spacing w:before="6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540" w:lineRule="atLeast"/>
              <w:ind w:left="121" w:right="2702"/>
              <w:rPr>
                <w:sz w:val="24"/>
              </w:rPr>
            </w:pPr>
            <w:r>
              <w:rPr>
                <w:sz w:val="24"/>
              </w:rPr>
              <w:t>With a palpable mass With ascites</w:t>
            </w:r>
          </w:p>
          <w:p w:rsidR="007A4763" w:rsidRDefault="006D585D">
            <w:pPr>
              <w:pStyle w:val="TableParagraph"/>
              <w:spacing w:before="21"/>
              <w:ind w:left="842"/>
              <w:rPr>
                <w:sz w:val="24"/>
              </w:rPr>
            </w:pPr>
            <w:r>
              <w:rPr>
                <w:sz w:val="24"/>
              </w:rPr>
              <w:t>Suspecting  Liver/Cardiac</w:t>
            </w:r>
          </w:p>
          <w:p w:rsidR="007A4763" w:rsidRDefault="007A4763">
            <w:pPr>
              <w:pStyle w:val="TableParagraph"/>
              <w:spacing w:before="2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before="1" w:line="275" w:lineRule="exact"/>
              <w:ind w:left="84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Suspecting  </w:t>
            </w:r>
            <w:r>
              <w:rPr>
                <w:spacing w:val="-6"/>
                <w:sz w:val="24"/>
              </w:rPr>
              <w:t>malignancy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A4763" w:rsidRDefault="006D585D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2WW and CT scan recommended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475" w:lineRule="auto"/>
              <w:ind w:left="108" w:right="103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NO </w:t>
            </w: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19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7A4763" w:rsidRDefault="006D585D">
            <w:pPr>
              <w:pStyle w:val="TableParagraph"/>
              <w:spacing w:line="475" w:lineRule="auto"/>
              <w:ind w:left="108" w:right="1031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 xml:space="preserve">YES </w:t>
            </w: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2492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Suspected Pancreatic Cancer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37" w:lineRule="auto"/>
              <w:ind w:left="121" w:right="2702"/>
              <w:rPr>
                <w:sz w:val="24"/>
              </w:rPr>
            </w:pPr>
            <w:r>
              <w:rPr>
                <w:sz w:val="24"/>
              </w:rPr>
              <w:t>Presenting symptoms: Weight Loss</w:t>
            </w:r>
          </w:p>
          <w:p w:rsidR="007A4763" w:rsidRDefault="006D585D">
            <w:pPr>
              <w:pStyle w:val="TableParagraph"/>
              <w:spacing w:line="252" w:lineRule="auto"/>
              <w:ind w:left="121" w:right="2702"/>
              <w:rPr>
                <w:sz w:val="24"/>
              </w:rPr>
            </w:pPr>
            <w:r>
              <w:rPr>
                <w:sz w:val="24"/>
              </w:rPr>
              <w:t>Nausea and vomiting Back pain</w:t>
            </w:r>
          </w:p>
          <w:p w:rsidR="007A4763" w:rsidRDefault="006D585D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New onset diabetes</w:t>
            </w:r>
          </w:p>
          <w:p w:rsidR="007A4763" w:rsidRDefault="007A476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>Recommend 2WW referral and CT scan Ultrasound cannot assess the entire pancreas</w:t>
            </w:r>
          </w:p>
        </w:tc>
        <w:tc>
          <w:tcPr>
            <w:tcW w:w="1975" w:type="dxa"/>
          </w:tcPr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31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1094"/>
        </w:trPr>
        <w:tc>
          <w:tcPr>
            <w:tcW w:w="3129" w:type="dxa"/>
          </w:tcPr>
          <w:p w:rsidR="007A4763" w:rsidRDefault="006D585D" w:rsidP="00D722A6">
            <w:pPr>
              <w:pStyle w:val="Heading3"/>
            </w:pPr>
            <w:proofErr w:type="gramStart"/>
            <w:r>
              <w:t>Altered  bowel</w:t>
            </w:r>
            <w:proofErr w:type="gramEnd"/>
            <w:r>
              <w:t xml:space="preserve"> habit/</w:t>
            </w:r>
            <w:r w:rsidR="00D722A6">
              <w:t xml:space="preserve"> </w:t>
            </w:r>
            <w:r>
              <w:t>diverticular  disease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No  </w:t>
            </w:r>
            <w:r>
              <w:rPr>
                <w:spacing w:val="-4"/>
                <w:sz w:val="24"/>
              </w:rPr>
              <w:t xml:space="preserve">role </w:t>
            </w:r>
            <w:r>
              <w:rPr>
                <w:sz w:val="24"/>
              </w:rPr>
              <w:t xml:space="preserve">in </w:t>
            </w:r>
            <w:r>
              <w:rPr>
                <w:spacing w:val="-9"/>
                <w:sz w:val="24"/>
              </w:rPr>
              <w:t xml:space="preserve">management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z w:val="24"/>
              </w:rPr>
              <w:t xml:space="preserve">IBS </w:t>
            </w:r>
            <w:r>
              <w:rPr>
                <w:spacing w:val="-4"/>
                <w:sz w:val="24"/>
              </w:rPr>
              <w:t xml:space="preserve">or </w:t>
            </w:r>
            <w:r>
              <w:rPr>
                <w:sz w:val="24"/>
              </w:rPr>
              <w:t>DD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 xml:space="preserve">If suspected  bowel  ca refer via </w:t>
            </w:r>
            <w:r>
              <w:rPr>
                <w:b/>
                <w:sz w:val="24"/>
              </w:rPr>
              <w:t>2WW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1916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Diabetes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 xml:space="preserve">US </w:t>
            </w:r>
            <w:proofErr w:type="gramStart"/>
            <w:r>
              <w:rPr>
                <w:sz w:val="24"/>
              </w:rPr>
              <w:t>does</w:t>
            </w:r>
            <w:proofErr w:type="gramEnd"/>
            <w:r>
              <w:rPr>
                <w:sz w:val="24"/>
              </w:rPr>
              <w:t xml:space="preserve"> not have a role in the diagnosis or management of Diabetes.</w:t>
            </w:r>
          </w:p>
          <w:p w:rsidR="007A4763" w:rsidRDefault="007A4763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before="1" w:line="237" w:lineRule="auto"/>
              <w:ind w:left="121" w:right="351"/>
              <w:rPr>
                <w:sz w:val="24"/>
              </w:rPr>
            </w:pPr>
            <w:r>
              <w:rPr>
                <w:sz w:val="24"/>
              </w:rPr>
              <w:t>Up to 70% of patients with DM have a fatty liver with raised ALT.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This does not justify a scan.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</w:tbl>
    <w:p w:rsidR="007A4763" w:rsidRDefault="007A4763">
      <w:pPr>
        <w:spacing w:line="267" w:lineRule="exact"/>
        <w:rPr>
          <w:sz w:val="24"/>
        </w:rPr>
        <w:sectPr w:rsidR="007A4763">
          <w:pgSz w:w="11910" w:h="16840"/>
          <w:pgMar w:top="1420" w:right="660" w:bottom="280" w:left="6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233"/>
        <w:gridCol w:w="1975"/>
      </w:tblGrid>
      <w:tr w:rsidR="007A4763">
        <w:trPr>
          <w:trHeight w:val="605"/>
        </w:trPr>
        <w:tc>
          <w:tcPr>
            <w:tcW w:w="3129" w:type="dxa"/>
            <w:shd w:val="clear" w:color="auto" w:fill="D9D9D9"/>
          </w:tcPr>
          <w:p w:rsidR="007A4763" w:rsidRDefault="006D585D" w:rsidP="00B01E5F">
            <w:pPr>
              <w:pStyle w:val="Heading2"/>
            </w:pPr>
            <w:bookmarkStart w:id="1" w:name="_Toc533072053"/>
            <w:r>
              <w:t>RENAL TRACT</w:t>
            </w:r>
            <w:bookmarkEnd w:id="1"/>
          </w:p>
        </w:tc>
        <w:tc>
          <w:tcPr>
            <w:tcW w:w="5233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404"/>
        </w:trPr>
        <w:tc>
          <w:tcPr>
            <w:tcW w:w="3129" w:type="dxa"/>
            <w:tcBorders>
              <w:bottom w:val="nil"/>
            </w:tcBorders>
          </w:tcPr>
          <w:p w:rsidR="007A4763" w:rsidRDefault="006D585D" w:rsidP="00954559">
            <w:pPr>
              <w:pStyle w:val="Heading3"/>
            </w:pPr>
            <w:r>
              <w:t>UTI (ADULT)</w:t>
            </w:r>
          </w:p>
        </w:tc>
        <w:tc>
          <w:tcPr>
            <w:tcW w:w="5233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First episode</w:t>
            </w:r>
          </w:p>
        </w:tc>
        <w:tc>
          <w:tcPr>
            <w:tcW w:w="1975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554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21"/>
              <w:rPr>
                <w:sz w:val="24"/>
              </w:rPr>
            </w:pPr>
            <w:r>
              <w:rPr>
                <w:sz w:val="24"/>
              </w:rPr>
              <w:t>Recurrent (&gt;/= 3 episodes in 12 months)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554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21"/>
              <w:rPr>
                <w:sz w:val="24"/>
              </w:rPr>
            </w:pPr>
            <w:r>
              <w:rPr>
                <w:sz w:val="24"/>
              </w:rPr>
              <w:t>Non-responders to antibiotics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547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21"/>
              <w:rPr>
                <w:sz w:val="24"/>
              </w:rPr>
            </w:pPr>
            <w:r>
              <w:rPr>
                <w:sz w:val="24"/>
              </w:rPr>
              <w:t>Frequent re-infection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691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21"/>
              <w:rPr>
                <w:sz w:val="24"/>
              </w:rPr>
            </w:pPr>
            <w:r>
              <w:rPr>
                <w:sz w:val="24"/>
              </w:rPr>
              <w:t>H/O stone or obstruction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107"/>
        </w:trPr>
        <w:tc>
          <w:tcPr>
            <w:tcW w:w="3129" w:type="dxa"/>
            <w:tcBorders>
              <w:top w:val="nil"/>
            </w:tcBorders>
          </w:tcPr>
          <w:p w:rsidR="007A4763" w:rsidRDefault="007A4763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7A4763" w:rsidRDefault="006D585D" w:rsidP="00954559">
            <w:pPr>
              <w:pStyle w:val="Heading3"/>
            </w:pPr>
            <w:r>
              <w:t>UTI (CHILDREN)</w:t>
            </w:r>
          </w:p>
          <w:p w:rsidR="007A4763" w:rsidRDefault="006D585D" w:rsidP="00954559">
            <w:pPr>
              <w:pStyle w:val="TableParagraph"/>
              <w:spacing w:line="275" w:lineRule="exact"/>
              <w:ind w:left="91" w:right="46"/>
              <w:rPr>
                <w:sz w:val="24"/>
              </w:rPr>
            </w:pPr>
            <w:r>
              <w:rPr>
                <w:color w:val="006FC0"/>
                <w:sz w:val="24"/>
              </w:rPr>
              <w:t>See footnote 2</w:t>
            </w:r>
          </w:p>
        </w:tc>
        <w:tc>
          <w:tcPr>
            <w:tcW w:w="5233" w:type="dxa"/>
            <w:tcBorders>
              <w:top w:val="nil"/>
            </w:tcBorders>
          </w:tcPr>
          <w:p w:rsidR="007A4763" w:rsidRDefault="007A4763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As per NICE guidelines</w:t>
            </w:r>
          </w:p>
        </w:tc>
        <w:tc>
          <w:tcPr>
            <w:tcW w:w="1975" w:type="dxa"/>
            <w:tcBorders>
              <w:top w:val="nil"/>
            </w:tcBorders>
          </w:tcPr>
          <w:p w:rsidR="007A4763" w:rsidRDefault="007A4763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835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Hypertension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Routine imaging is not indicated.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RAS (renal artery screening) is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offered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820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Renal Failure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Acute or acute on chronic</w:t>
            </w:r>
          </w:p>
          <w:p w:rsidR="007A4763" w:rsidRDefault="006D585D">
            <w:pPr>
              <w:pStyle w:val="TableParagraph"/>
              <w:spacing w:before="18"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To assess renal size and rule out obstructive causes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820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Haematuria</w:t>
            </w:r>
            <w:r w:rsidR="00D722A6">
              <w:t xml:space="preserve"> </w:t>
            </w:r>
            <w:r>
              <w:t>(micro/macro)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Most haematuria at HHFT go through the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‘haematuria </w:t>
            </w:r>
            <w:r>
              <w:rPr>
                <w:b/>
                <w:sz w:val="24"/>
              </w:rPr>
              <w:t xml:space="preserve">one-stop </w:t>
            </w:r>
            <w:r>
              <w:rPr>
                <w:sz w:val="24"/>
              </w:rPr>
              <w:t>clinic’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368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Renal Colic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Females &lt;40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237" w:lineRule="auto"/>
              <w:ind w:left="121" w:right="1582"/>
              <w:rPr>
                <w:sz w:val="24"/>
              </w:rPr>
            </w:pPr>
            <w:r>
              <w:rPr>
                <w:sz w:val="24"/>
              </w:rPr>
              <w:t>Any Males and Females &gt;40 Direct access for CT KUB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</w:tbl>
    <w:p w:rsidR="007A4763" w:rsidRDefault="007A4763">
      <w:pPr>
        <w:rPr>
          <w:sz w:val="24"/>
        </w:rPr>
        <w:sectPr w:rsidR="007A4763">
          <w:pgSz w:w="11910" w:h="16840"/>
          <w:pgMar w:top="860" w:right="660" w:bottom="280" w:left="6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233"/>
        <w:gridCol w:w="1975"/>
      </w:tblGrid>
      <w:tr w:rsidR="007A4763">
        <w:trPr>
          <w:trHeight w:val="605"/>
        </w:trPr>
        <w:tc>
          <w:tcPr>
            <w:tcW w:w="3129" w:type="dxa"/>
            <w:shd w:val="clear" w:color="auto" w:fill="D9D9D9"/>
          </w:tcPr>
          <w:p w:rsidR="007A4763" w:rsidRDefault="006D585D" w:rsidP="00B01E5F">
            <w:pPr>
              <w:pStyle w:val="Heading2"/>
            </w:pPr>
            <w:bookmarkStart w:id="2" w:name="_Toc533072054"/>
            <w:r>
              <w:t>SMALL PARTS</w:t>
            </w:r>
            <w:bookmarkEnd w:id="2"/>
          </w:p>
        </w:tc>
        <w:tc>
          <w:tcPr>
            <w:tcW w:w="5233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2766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Lymphadenopathy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Patients with clinically benign groin, axillary or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neck lymphadenopathy do not need US</w:t>
            </w:r>
          </w:p>
          <w:p w:rsidR="007A4763" w:rsidRDefault="007A4763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spacing w:line="237" w:lineRule="auto"/>
              <w:ind w:left="121" w:right="538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Small </w:t>
            </w:r>
            <w:r>
              <w:rPr>
                <w:spacing w:val="-6"/>
                <w:sz w:val="24"/>
              </w:rPr>
              <w:t xml:space="preserve">nodes </w:t>
            </w:r>
            <w:r>
              <w:rPr>
                <w:sz w:val="24"/>
              </w:rPr>
              <w:t xml:space="preserve">in </w:t>
            </w:r>
            <w:r>
              <w:rPr>
                <w:spacing w:val="-6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groin, neck </w:t>
            </w:r>
            <w:r>
              <w:rPr>
                <w:spacing w:val="-4"/>
                <w:sz w:val="24"/>
              </w:rPr>
              <w:t xml:space="preserve">or </w:t>
            </w:r>
            <w:r>
              <w:rPr>
                <w:spacing w:val="-9"/>
                <w:sz w:val="24"/>
              </w:rPr>
              <w:t xml:space="preserve">axilla </w:t>
            </w:r>
            <w:r>
              <w:rPr>
                <w:sz w:val="24"/>
              </w:rPr>
              <w:t xml:space="preserve">are </w:t>
            </w:r>
            <w:r>
              <w:rPr>
                <w:spacing w:val="-8"/>
                <w:sz w:val="24"/>
              </w:rPr>
              <w:t xml:space="preserve">commonly palpable. </w:t>
            </w:r>
            <w:r>
              <w:rPr>
                <w:sz w:val="24"/>
              </w:rPr>
              <w:t xml:space="preserve">If </w:t>
            </w:r>
            <w:r>
              <w:rPr>
                <w:spacing w:val="-5"/>
                <w:sz w:val="24"/>
              </w:rPr>
              <w:t xml:space="preserve">new and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source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pacing w:val="-5"/>
                <w:sz w:val="24"/>
              </w:rPr>
              <w:t xml:space="preserve">sepsis </w:t>
            </w:r>
            <w:r>
              <w:rPr>
                <w:sz w:val="24"/>
              </w:rPr>
              <w:t xml:space="preserve">is </w:t>
            </w:r>
            <w:r>
              <w:rPr>
                <w:spacing w:val="-8"/>
                <w:sz w:val="24"/>
              </w:rPr>
              <w:t xml:space="preserve">evident, </w:t>
            </w:r>
            <w:r>
              <w:rPr>
                <w:spacing w:val="-10"/>
                <w:sz w:val="24"/>
              </w:rPr>
              <w:t xml:space="preserve">US </w:t>
            </w:r>
            <w:r>
              <w:rPr>
                <w:sz w:val="24"/>
              </w:rPr>
              <w:t xml:space="preserve">is </w:t>
            </w:r>
            <w:r>
              <w:rPr>
                <w:spacing w:val="-5"/>
                <w:sz w:val="24"/>
              </w:rPr>
              <w:t xml:space="preserve">not </w:t>
            </w:r>
            <w:r>
              <w:rPr>
                <w:spacing w:val="-3"/>
                <w:sz w:val="24"/>
              </w:rPr>
              <w:t>required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Signs of </w:t>
            </w:r>
            <w:r>
              <w:rPr>
                <w:b/>
                <w:sz w:val="24"/>
              </w:rPr>
              <w:t xml:space="preserve">malignancy </w:t>
            </w:r>
            <w:r>
              <w:rPr>
                <w:sz w:val="24"/>
              </w:rPr>
              <w:t>include increasing size, fixed mass, rubbery consistency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8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368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Soft tissue lump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b/>
                <w:sz w:val="24"/>
              </w:rPr>
              <w:t xml:space="preserve">2WW </w:t>
            </w:r>
            <w:r>
              <w:rPr>
                <w:sz w:val="24"/>
              </w:rPr>
              <w:t>sarcoma referral if &gt;5cm, tender or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enlarging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&lt;5cm stable, soft, non-tender lumps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228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3313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Scrotal mass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Following full clinical examination: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244" w:lineRule="auto"/>
              <w:ind w:left="121" w:right="2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Any </w:t>
            </w:r>
            <w:r>
              <w:rPr>
                <w:spacing w:val="-6"/>
                <w:sz w:val="24"/>
              </w:rPr>
              <w:t xml:space="preserve">patient </w:t>
            </w:r>
            <w:r>
              <w:rPr>
                <w:spacing w:val="-8"/>
                <w:sz w:val="24"/>
              </w:rPr>
              <w:t xml:space="preserve">with </w:t>
            </w:r>
            <w:r>
              <w:rPr>
                <w:sz w:val="24"/>
              </w:rPr>
              <w:t xml:space="preserve">a </w:t>
            </w:r>
            <w:r>
              <w:rPr>
                <w:spacing w:val="-8"/>
                <w:sz w:val="24"/>
              </w:rPr>
              <w:t xml:space="preserve">swelling </w:t>
            </w:r>
            <w:r>
              <w:rPr>
                <w:spacing w:val="-4"/>
                <w:sz w:val="24"/>
              </w:rPr>
              <w:t xml:space="preserve">or </w:t>
            </w:r>
            <w:r>
              <w:rPr>
                <w:spacing w:val="-8"/>
                <w:sz w:val="24"/>
              </w:rPr>
              <w:t xml:space="preserve">mass  </w:t>
            </w:r>
            <w:r>
              <w:rPr>
                <w:sz w:val="24"/>
              </w:rPr>
              <w:t xml:space="preserve">in </w:t>
            </w:r>
            <w:r>
              <w:rPr>
                <w:spacing w:val="-6"/>
                <w:sz w:val="24"/>
              </w:rPr>
              <w:t xml:space="preserve">the body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pacing w:val="-6"/>
                <w:sz w:val="24"/>
              </w:rPr>
              <w:t xml:space="preserve">the testis  </w:t>
            </w:r>
            <w:r>
              <w:rPr>
                <w:spacing w:val="-7"/>
                <w:sz w:val="24"/>
              </w:rPr>
              <w:t xml:space="preserve">should 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z w:val="24"/>
              </w:rPr>
              <w:t xml:space="preserve">referred for </w:t>
            </w:r>
            <w:r>
              <w:rPr>
                <w:b/>
                <w:spacing w:val="-4"/>
                <w:sz w:val="24"/>
              </w:rPr>
              <w:t xml:space="preserve">URGENT </w:t>
            </w:r>
            <w:r>
              <w:rPr>
                <w:spacing w:val="-19"/>
                <w:sz w:val="24"/>
              </w:rPr>
              <w:t>US</w:t>
            </w:r>
          </w:p>
          <w:p w:rsidR="007A4763" w:rsidRDefault="007A4763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line="475" w:lineRule="auto"/>
              <w:ind w:left="121" w:right="581"/>
              <w:rPr>
                <w:sz w:val="24"/>
              </w:rPr>
            </w:pPr>
            <w:r>
              <w:rPr>
                <w:b/>
                <w:sz w:val="24"/>
              </w:rPr>
              <w:t xml:space="preserve">Extra-testicular </w:t>
            </w:r>
            <w:r>
              <w:rPr>
                <w:sz w:val="24"/>
              </w:rPr>
              <w:t xml:space="preserve">mass,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epididymal</w:t>
            </w:r>
            <w:proofErr w:type="spellEnd"/>
            <w:r>
              <w:rPr>
                <w:sz w:val="24"/>
              </w:rPr>
              <w:t xml:space="preserve"> cyst Generalised scrotal swelling ‘?</w:t>
            </w:r>
            <w:proofErr w:type="spellStart"/>
            <w:r>
              <w:rPr>
                <w:sz w:val="24"/>
              </w:rPr>
              <w:t>hydrocoele</w:t>
            </w:r>
            <w:proofErr w:type="spellEnd"/>
            <w:r>
              <w:rPr>
                <w:sz w:val="24"/>
              </w:rPr>
              <w:t>’</w:t>
            </w:r>
          </w:p>
          <w:p w:rsidR="007A4763" w:rsidRDefault="006D585D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 xml:space="preserve">Suspected </w:t>
            </w:r>
            <w:proofErr w:type="spellStart"/>
            <w:r>
              <w:rPr>
                <w:sz w:val="24"/>
              </w:rPr>
              <w:t>varicocoele</w:t>
            </w:r>
            <w:proofErr w:type="spellEnd"/>
          </w:p>
        </w:tc>
        <w:tc>
          <w:tcPr>
            <w:tcW w:w="1975" w:type="dxa"/>
          </w:tcPr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211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199" w:line="475" w:lineRule="auto"/>
              <w:ind w:left="108" w:right="14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NO </w:t>
            </w:r>
            <w:proofErr w:type="spellStart"/>
            <w:r>
              <w:rPr>
                <w:b/>
                <w:color w:val="FF0000"/>
                <w:sz w:val="24"/>
              </w:rPr>
              <w:t>NO</w:t>
            </w:r>
            <w:proofErr w:type="spellEnd"/>
          </w:p>
          <w:p w:rsidR="007A4763" w:rsidRDefault="006D585D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2752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Scrotal pain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Chronic (&gt;3 months) pain in the absence of a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palpable mass does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justify US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 xml:space="preserve">Acute pain ?torsion requires </w:t>
            </w:r>
            <w:r>
              <w:rPr>
                <w:b/>
                <w:sz w:val="24"/>
              </w:rPr>
              <w:t>URGENT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Urology/Surgical referral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ind w:left="121" w:right="117"/>
              <w:rPr>
                <w:sz w:val="24"/>
              </w:rPr>
            </w:pPr>
            <w:r>
              <w:rPr>
                <w:sz w:val="24"/>
              </w:rPr>
              <w:t xml:space="preserve">Acute pain in the absence of suspected torsion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Epididymo-orchitis</w:t>
            </w:r>
            <w:proofErr w:type="spellEnd"/>
            <w:r>
              <w:rPr>
                <w:sz w:val="24"/>
              </w:rPr>
              <w:t xml:space="preserve"> ?Abscess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228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103"/>
        </w:trPr>
        <w:tc>
          <w:tcPr>
            <w:tcW w:w="3129" w:type="dxa"/>
            <w:tcBorders>
              <w:bottom w:val="nil"/>
            </w:tcBorders>
          </w:tcPr>
          <w:p w:rsidR="007A4763" w:rsidRDefault="006D585D" w:rsidP="00954559">
            <w:pPr>
              <w:pStyle w:val="Heading3"/>
            </w:pPr>
            <w:r>
              <w:t>Inguinal hernia</w:t>
            </w:r>
          </w:p>
        </w:tc>
        <w:tc>
          <w:tcPr>
            <w:tcW w:w="5233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Characteristic history and exam findings</w:t>
            </w:r>
          </w:p>
          <w:p w:rsidR="007A4763" w:rsidRDefault="006D585D">
            <w:pPr>
              <w:pStyle w:val="TableParagraph"/>
              <w:spacing w:before="1" w:line="237" w:lineRule="auto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including</w:t>
            </w:r>
            <w:proofErr w:type="gramEnd"/>
            <w:r>
              <w:rPr>
                <w:sz w:val="24"/>
              </w:rPr>
              <w:t xml:space="preserve"> reducible palpable lump or cough impulse. Ultrasound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justified.</w:t>
            </w:r>
          </w:p>
        </w:tc>
        <w:tc>
          <w:tcPr>
            <w:tcW w:w="1975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6D585D">
            <w:pPr>
              <w:pStyle w:val="TableParagraph"/>
              <w:spacing w:before="1" w:line="237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Consider Surgical</w:t>
            </w:r>
          </w:p>
          <w:p w:rsidR="007A4763" w:rsidRDefault="006D585D">
            <w:pPr>
              <w:pStyle w:val="TableParagraph"/>
              <w:spacing w:before="13"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</w:p>
        </w:tc>
      </w:tr>
      <w:tr w:rsidR="007A4763">
        <w:trPr>
          <w:trHeight w:val="958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 xml:space="preserve">Irreducible and/or tender lumps may suggest incarcerated hernia and require </w:t>
            </w:r>
            <w:r>
              <w:rPr>
                <w:b/>
                <w:sz w:val="24"/>
              </w:rPr>
              <w:t xml:space="preserve">URGENT </w:t>
            </w:r>
            <w:r>
              <w:rPr>
                <w:sz w:val="24"/>
              </w:rPr>
              <w:t>surgical referral.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554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21"/>
              <w:rPr>
                <w:sz w:val="24"/>
              </w:rPr>
            </w:pPr>
            <w:r>
              <w:rPr>
                <w:b/>
                <w:sz w:val="24"/>
              </w:rPr>
              <w:t xml:space="preserve">Vague </w:t>
            </w:r>
            <w:r>
              <w:rPr>
                <w:sz w:val="24"/>
              </w:rPr>
              <w:t>request ?hernia ?something else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697"/>
        </w:trPr>
        <w:tc>
          <w:tcPr>
            <w:tcW w:w="3129" w:type="dxa"/>
            <w:tcBorders>
              <w:top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37" w:line="274" w:lineRule="exact"/>
              <w:ind w:left="121" w:right="341"/>
              <w:rPr>
                <w:sz w:val="24"/>
              </w:rPr>
            </w:pPr>
            <w:r>
              <w:rPr>
                <w:sz w:val="24"/>
              </w:rPr>
              <w:t>If groin pain, consider MSK causes and refer accordingly</w:t>
            </w:r>
          </w:p>
        </w:tc>
        <w:tc>
          <w:tcPr>
            <w:tcW w:w="1975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604"/>
        </w:trPr>
        <w:tc>
          <w:tcPr>
            <w:tcW w:w="3129" w:type="dxa"/>
            <w:shd w:val="clear" w:color="auto" w:fill="D9D9D9"/>
          </w:tcPr>
          <w:p w:rsidR="007A4763" w:rsidRDefault="006D585D" w:rsidP="00B01E5F">
            <w:pPr>
              <w:pStyle w:val="Heading2"/>
            </w:pPr>
            <w:bookmarkStart w:id="3" w:name="_Toc533072055"/>
            <w:r>
              <w:t>HEAD &amp; NECK</w:t>
            </w:r>
            <w:bookmarkEnd w:id="3"/>
          </w:p>
        </w:tc>
        <w:tc>
          <w:tcPr>
            <w:tcW w:w="5233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3588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Thyroid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37" w:lineRule="auto"/>
              <w:ind w:left="121" w:right="63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Ultrasound may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pacing w:val="-3"/>
                <w:sz w:val="24"/>
              </w:rPr>
              <w:t xml:space="preserve">required </w:t>
            </w:r>
            <w:r>
              <w:rPr>
                <w:spacing w:val="-6"/>
                <w:sz w:val="24"/>
              </w:rPr>
              <w:t xml:space="preserve">where </w:t>
            </w:r>
            <w:r>
              <w:rPr>
                <w:spacing w:val="-5"/>
                <w:sz w:val="24"/>
              </w:rPr>
              <w:t xml:space="preserve">there </w:t>
            </w:r>
            <w:r>
              <w:rPr>
                <w:sz w:val="24"/>
              </w:rPr>
              <w:t xml:space="preserve">is </w:t>
            </w:r>
            <w:r>
              <w:rPr>
                <w:b/>
                <w:spacing w:val="-5"/>
                <w:sz w:val="24"/>
              </w:rPr>
              <w:t xml:space="preserve">doubt </w:t>
            </w:r>
            <w:r>
              <w:rPr>
                <w:spacing w:val="-4"/>
                <w:sz w:val="24"/>
              </w:rPr>
              <w:t xml:space="preserve">as </w:t>
            </w:r>
            <w:r>
              <w:rPr>
                <w:spacing w:val="-6"/>
                <w:sz w:val="24"/>
              </w:rPr>
              <w:t xml:space="preserve">to  the  </w:t>
            </w:r>
            <w:r>
              <w:rPr>
                <w:sz w:val="24"/>
              </w:rPr>
              <w:t xml:space="preserve">origin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cervical </w:t>
            </w:r>
            <w:r>
              <w:rPr>
                <w:spacing w:val="-8"/>
                <w:sz w:val="24"/>
              </w:rPr>
              <w:t xml:space="preserve">mass,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thyroid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</w:p>
          <w:p w:rsidR="007A4763" w:rsidRDefault="007A4763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r>
              <w:rPr>
                <w:sz w:val="24"/>
              </w:rPr>
              <w:t>Clinical features that increase the likelihood of malignancy include history of irradiation, male sex, age (&lt;20,&gt;70), fixed mass, hard/firm consistency, cervical nodes, change in voice, family history of MEN II or papillary Ca</w:t>
            </w:r>
          </w:p>
          <w:p w:rsidR="007A4763" w:rsidRDefault="007A476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line="249" w:lineRule="auto"/>
              <w:ind w:left="121" w:right="395"/>
              <w:rPr>
                <w:sz w:val="24"/>
              </w:rPr>
            </w:pPr>
            <w:r>
              <w:rPr>
                <w:sz w:val="24"/>
              </w:rPr>
              <w:t xml:space="preserve">Routine </w:t>
            </w:r>
            <w:r>
              <w:rPr>
                <w:b/>
                <w:sz w:val="24"/>
              </w:rPr>
              <w:t xml:space="preserve">follow up </w:t>
            </w:r>
            <w:r>
              <w:rPr>
                <w:sz w:val="24"/>
              </w:rPr>
              <w:t>of benign nodules (U2) is not recommended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1094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Salivary mass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History suggestive of salivary duct obstruction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Suspected salivary mass/tumour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</w:tbl>
    <w:p w:rsidR="007A4763" w:rsidRDefault="007A4763">
      <w:pPr>
        <w:rPr>
          <w:sz w:val="24"/>
        </w:rPr>
        <w:sectPr w:rsidR="007A4763">
          <w:pgSz w:w="11910" w:h="16840"/>
          <w:pgMar w:top="1420" w:right="660" w:bottom="280" w:left="6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233"/>
        <w:gridCol w:w="1975"/>
      </w:tblGrid>
      <w:tr w:rsidR="007A4763">
        <w:trPr>
          <w:trHeight w:val="605"/>
        </w:trPr>
        <w:tc>
          <w:tcPr>
            <w:tcW w:w="3129" w:type="dxa"/>
            <w:shd w:val="clear" w:color="auto" w:fill="D9D9D9"/>
          </w:tcPr>
          <w:p w:rsidR="007A4763" w:rsidRDefault="006D585D" w:rsidP="00B01E5F">
            <w:pPr>
              <w:pStyle w:val="Heading2"/>
            </w:pPr>
            <w:bookmarkStart w:id="4" w:name="_Toc533072056"/>
            <w:r>
              <w:t>GYNAECOLOGY</w:t>
            </w:r>
            <w:bookmarkEnd w:id="4"/>
          </w:p>
          <w:p w:rsidR="007A4763" w:rsidRDefault="006D585D">
            <w:pPr>
              <w:pStyle w:val="TableParagraph"/>
              <w:spacing w:line="275" w:lineRule="exact"/>
              <w:ind w:left="91" w:right="45"/>
              <w:jc w:val="center"/>
              <w:rPr>
                <w:sz w:val="24"/>
              </w:rPr>
            </w:pPr>
            <w:r>
              <w:rPr>
                <w:color w:val="006FC0"/>
                <w:spacing w:val="-4"/>
                <w:sz w:val="24"/>
              </w:rPr>
              <w:t xml:space="preserve">See </w:t>
            </w:r>
            <w:r>
              <w:rPr>
                <w:color w:val="006FC0"/>
                <w:spacing w:val="-7"/>
                <w:sz w:val="24"/>
              </w:rPr>
              <w:t>Footnote</w:t>
            </w:r>
            <w:r>
              <w:rPr>
                <w:color w:val="006FC0"/>
                <w:spacing w:val="48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5233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2204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 xml:space="preserve">Pelvic </w:t>
            </w:r>
            <w:proofErr w:type="gramStart"/>
            <w:r>
              <w:t>pain ?</w:t>
            </w:r>
            <w:proofErr w:type="gramEnd"/>
            <w:r>
              <w:t>cause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US is unlikely to contribute to patient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management if pain is the only symptom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ind w:left="121" w:right="347"/>
              <w:rPr>
                <w:sz w:val="24"/>
              </w:rPr>
            </w:pPr>
            <w:r>
              <w:rPr>
                <w:sz w:val="24"/>
              </w:rPr>
              <w:t xml:space="preserve">In patients </w:t>
            </w:r>
            <w:r>
              <w:rPr>
                <w:b/>
                <w:sz w:val="24"/>
              </w:rPr>
              <w:t>&gt;50</w:t>
            </w:r>
            <w:r>
              <w:rPr>
                <w:sz w:val="24"/>
              </w:rPr>
              <w:t>, the likelihood of pathology is increased.</w:t>
            </w:r>
          </w:p>
          <w:p w:rsidR="007A4763" w:rsidRDefault="007A4763">
            <w:pPr>
              <w:pStyle w:val="TableParagraph"/>
              <w:spacing w:before="1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 xml:space="preserve">Please include a </w:t>
            </w:r>
            <w:r>
              <w:rPr>
                <w:b/>
                <w:sz w:val="24"/>
              </w:rPr>
              <w:t>specific clinical question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549"/>
        </w:trPr>
        <w:tc>
          <w:tcPr>
            <w:tcW w:w="3129" w:type="dxa"/>
            <w:tcBorders>
              <w:bottom w:val="nil"/>
            </w:tcBorders>
          </w:tcPr>
          <w:p w:rsidR="007A4763" w:rsidRDefault="006D585D" w:rsidP="00954559">
            <w:pPr>
              <w:pStyle w:val="Heading3"/>
            </w:pPr>
            <w:r>
              <w:t>Pelvic pain +</w:t>
            </w:r>
          </w:p>
        </w:tc>
        <w:tc>
          <w:tcPr>
            <w:tcW w:w="5233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The addition of another clinical symptom</w:t>
            </w:r>
          </w:p>
          <w:p w:rsidR="007A4763" w:rsidRDefault="006D585D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justifies the request</w:t>
            </w:r>
          </w:p>
        </w:tc>
        <w:tc>
          <w:tcPr>
            <w:tcW w:w="1975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669"/>
        </w:trPr>
        <w:tc>
          <w:tcPr>
            <w:tcW w:w="3129" w:type="dxa"/>
            <w:tcBorders>
              <w:top w:val="nil"/>
            </w:tcBorders>
          </w:tcPr>
          <w:p w:rsidR="007A4763" w:rsidRDefault="006D585D" w:rsidP="00D722A6">
            <w:r>
              <w:rPr>
                <w:spacing w:val="-7"/>
              </w:rPr>
              <w:t>Palpable</w:t>
            </w:r>
            <w:r>
              <w:rPr>
                <w:spacing w:val="51"/>
              </w:rPr>
              <w:t xml:space="preserve"> </w:t>
            </w:r>
            <w:r>
              <w:rPr>
                <w:spacing w:val="-8"/>
              </w:rPr>
              <w:t xml:space="preserve">mass </w:t>
            </w:r>
            <w:r>
              <w:rPr>
                <w:spacing w:val="-6"/>
              </w:rPr>
              <w:t xml:space="preserve">Raised </w:t>
            </w:r>
            <w:r>
              <w:t xml:space="preserve">CRP/WCC Menstrual </w:t>
            </w:r>
            <w:r>
              <w:rPr>
                <w:spacing w:val="-4"/>
              </w:rPr>
              <w:t xml:space="preserve">irregularity </w:t>
            </w:r>
            <w:r>
              <w:t xml:space="preserve">Deep </w:t>
            </w:r>
            <w:r>
              <w:rPr>
                <w:spacing w:val="-6"/>
              </w:rPr>
              <w:t xml:space="preserve">dyspareunia </w:t>
            </w:r>
            <w:r>
              <w:t xml:space="preserve">Lack </w:t>
            </w:r>
            <w:r>
              <w:rPr>
                <w:spacing w:val="-3"/>
              </w:rPr>
              <w:t xml:space="preserve">of </w:t>
            </w:r>
            <w:r>
              <w:t>GI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symptoms</w:t>
            </w:r>
          </w:p>
        </w:tc>
        <w:tc>
          <w:tcPr>
            <w:tcW w:w="5233" w:type="dxa"/>
            <w:tcBorders>
              <w:top w:val="nil"/>
            </w:tcBorders>
          </w:tcPr>
          <w:p w:rsidR="007A4763" w:rsidRDefault="007A4763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Please include a </w:t>
            </w:r>
            <w:r>
              <w:rPr>
                <w:b/>
                <w:sz w:val="24"/>
              </w:rPr>
              <w:t>specific clinical question</w:t>
            </w:r>
            <w:r>
              <w:rPr>
                <w:sz w:val="24"/>
              </w:rPr>
              <w:t>/ differential diagnosis.</w:t>
            </w:r>
          </w:p>
        </w:tc>
        <w:tc>
          <w:tcPr>
            <w:tcW w:w="1975" w:type="dxa"/>
            <w:tcBorders>
              <w:top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397"/>
        </w:trPr>
        <w:tc>
          <w:tcPr>
            <w:tcW w:w="3129" w:type="dxa"/>
            <w:tcBorders>
              <w:bottom w:val="nil"/>
            </w:tcBorders>
          </w:tcPr>
          <w:p w:rsidR="007A4763" w:rsidRDefault="006D585D" w:rsidP="00954559">
            <w:pPr>
              <w:pStyle w:val="Heading3"/>
            </w:pPr>
            <w:r>
              <w:t>Pelvic pain +</w:t>
            </w:r>
          </w:p>
        </w:tc>
        <w:tc>
          <w:tcPr>
            <w:tcW w:w="5233" w:type="dxa"/>
            <w:tcBorders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829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6D585D" w:rsidP="00D722A6">
            <w:r>
              <w:t>H/o ovarian cyst H/o PCOS</w:t>
            </w: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21" w:right="1048"/>
              <w:rPr>
                <w:sz w:val="24"/>
              </w:rPr>
            </w:pPr>
            <w:r>
              <w:rPr>
                <w:sz w:val="24"/>
              </w:rPr>
              <w:t>These do not represent further clinical symptoms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1525"/>
        </w:trPr>
        <w:tc>
          <w:tcPr>
            <w:tcW w:w="3129" w:type="dxa"/>
            <w:tcBorders>
              <w:top w:val="nil"/>
            </w:tcBorders>
          </w:tcPr>
          <w:p w:rsidR="007A4763" w:rsidRDefault="006D585D" w:rsidP="00D722A6">
            <w:r>
              <w:t>‘Severe’ or ‘Sudden’ Loose stools</w:t>
            </w:r>
          </w:p>
          <w:p w:rsidR="007A4763" w:rsidRDefault="006D585D" w:rsidP="00D722A6">
            <w:r>
              <w:t>?appendicitis</w:t>
            </w:r>
          </w:p>
          <w:p w:rsidR="007A4763" w:rsidRDefault="006D585D" w:rsidP="00D722A6">
            <w:r>
              <w:rPr>
                <w:spacing w:val="-5"/>
              </w:rPr>
              <w:t>?ovarian</w:t>
            </w:r>
            <w:r>
              <w:rPr>
                <w:spacing w:val="45"/>
              </w:rPr>
              <w:t xml:space="preserve"> </w:t>
            </w:r>
            <w:r>
              <w:rPr>
                <w:spacing w:val="-6"/>
              </w:rPr>
              <w:t>cyst</w:t>
            </w:r>
          </w:p>
        </w:tc>
        <w:tc>
          <w:tcPr>
            <w:tcW w:w="5233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6" w:line="237" w:lineRule="auto"/>
              <w:ind w:left="121" w:right="755"/>
              <w:rPr>
                <w:sz w:val="24"/>
              </w:rPr>
            </w:pPr>
            <w:r>
              <w:rPr>
                <w:sz w:val="24"/>
              </w:rPr>
              <w:t>Reassurance scans will be referred back pending more information</w:t>
            </w:r>
          </w:p>
        </w:tc>
        <w:tc>
          <w:tcPr>
            <w:tcW w:w="1975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2751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Bloating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 w:rsidP="00551F2E">
            <w:pPr>
              <w:pStyle w:val="TableParagraph"/>
              <w:ind w:right="46"/>
              <w:rPr>
                <w:sz w:val="24"/>
              </w:rPr>
            </w:pPr>
            <w:r>
              <w:rPr>
                <w:color w:val="006FC0"/>
                <w:sz w:val="24"/>
              </w:rPr>
              <w:t>See footnote 3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As only symptom or intermittent bloating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21" w:right="708"/>
              <w:rPr>
                <w:sz w:val="24"/>
              </w:rPr>
            </w:pPr>
            <w:r>
              <w:rPr>
                <w:sz w:val="24"/>
              </w:rPr>
              <w:t>Persistent or frequent (&gt;12 times/month), especially over 50.</w:t>
            </w:r>
          </w:p>
          <w:p w:rsidR="007A4763" w:rsidRDefault="007A4763">
            <w:pPr>
              <w:pStyle w:val="TableParagraph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 xml:space="preserve">Persistent </w:t>
            </w:r>
            <w:r>
              <w:rPr>
                <w:b/>
                <w:i/>
                <w:sz w:val="24"/>
              </w:rPr>
              <w:t xml:space="preserve">and </w:t>
            </w:r>
            <w:r>
              <w:rPr>
                <w:sz w:val="24"/>
              </w:rPr>
              <w:t>palpable mass/ raised Ca 125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(Referral and alternative tests required for GI tract related symptoms)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715" w:lineRule="auto"/>
              <w:ind w:left="108" w:right="1031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 xml:space="preserve">YES </w:t>
            </w:r>
            <w:proofErr w:type="spellStart"/>
            <w:r>
              <w:rPr>
                <w:b/>
                <w:color w:val="4F6128"/>
                <w:sz w:val="24"/>
              </w:rPr>
              <w:t>YES</w:t>
            </w:r>
            <w:proofErr w:type="spellEnd"/>
          </w:p>
        </w:tc>
      </w:tr>
      <w:tr w:rsidR="007A4763">
        <w:trPr>
          <w:trHeight w:val="960"/>
        </w:trPr>
        <w:tc>
          <w:tcPr>
            <w:tcW w:w="3129" w:type="dxa"/>
            <w:tcBorders>
              <w:bottom w:val="nil"/>
            </w:tcBorders>
          </w:tcPr>
          <w:p w:rsidR="007A4763" w:rsidRDefault="006D585D" w:rsidP="00551F2E">
            <w:pPr>
              <w:pStyle w:val="Heading3"/>
            </w:pPr>
            <w:r>
              <w:t>F/up of benign lesions,</w:t>
            </w:r>
            <w:r w:rsidR="00551F2E">
              <w:t xml:space="preserve"> </w:t>
            </w:r>
            <w:r>
              <w:t>e</w:t>
            </w:r>
            <w:r w:rsidR="00BB7A1B">
              <w:t>.</w:t>
            </w:r>
            <w:r>
              <w:t>g</w:t>
            </w:r>
            <w:r w:rsidR="00BB7A1B">
              <w:t>.</w:t>
            </w:r>
            <w:r>
              <w:t xml:space="preserve"> fibroid, dermoid, cyst</w:t>
            </w:r>
          </w:p>
        </w:tc>
        <w:tc>
          <w:tcPr>
            <w:tcW w:w="5233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Usually there is no role for US in follow-up of</w:t>
            </w:r>
          </w:p>
          <w:p w:rsidR="007A4763" w:rsidRDefault="006D585D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>these lesions in pre-menopausal women unless:</w:t>
            </w:r>
          </w:p>
        </w:tc>
        <w:tc>
          <w:tcPr>
            <w:tcW w:w="1975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554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21"/>
              <w:rPr>
                <w:sz w:val="24"/>
              </w:rPr>
            </w:pPr>
            <w:r>
              <w:rPr>
                <w:sz w:val="24"/>
              </w:rPr>
              <w:t>On the advice of secondary care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547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 xml:space="preserve">The patient has undergone a </w:t>
            </w:r>
            <w:r>
              <w:rPr>
                <w:b/>
                <w:sz w:val="24"/>
              </w:rPr>
              <w:t>clinical change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251"/>
        </w:trPr>
        <w:tc>
          <w:tcPr>
            <w:tcW w:w="3129" w:type="dxa"/>
            <w:tcBorders>
              <w:top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4" w:line="244" w:lineRule="auto"/>
              <w:ind w:left="121" w:right="554"/>
              <w:rPr>
                <w:sz w:val="24"/>
              </w:rPr>
            </w:pPr>
            <w:r>
              <w:rPr>
                <w:sz w:val="24"/>
              </w:rPr>
              <w:t xml:space="preserve">Follow-up US of benign lesions can be performed at 4 months and 1 year in </w:t>
            </w:r>
            <w:r>
              <w:rPr>
                <w:b/>
                <w:sz w:val="24"/>
              </w:rPr>
              <w:t xml:space="preserve">post- menopausal </w:t>
            </w:r>
            <w:r>
              <w:rPr>
                <w:sz w:val="24"/>
              </w:rPr>
              <w:t>women to ensure no change</w:t>
            </w:r>
          </w:p>
        </w:tc>
        <w:tc>
          <w:tcPr>
            <w:tcW w:w="1975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</w:tbl>
    <w:p w:rsidR="007A4763" w:rsidRDefault="007A4763">
      <w:pPr>
        <w:rPr>
          <w:sz w:val="24"/>
        </w:rPr>
        <w:sectPr w:rsidR="007A4763">
          <w:pgSz w:w="11910" w:h="16840"/>
          <w:pgMar w:top="860" w:right="660" w:bottom="280" w:left="6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233"/>
        <w:gridCol w:w="1975"/>
      </w:tblGrid>
      <w:tr w:rsidR="007A4763">
        <w:trPr>
          <w:trHeight w:val="1109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PMB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Please include information about the LMP (i.e.</w:t>
            </w:r>
          </w:p>
          <w:p w:rsidR="007A4763" w:rsidRDefault="006D585D">
            <w:pPr>
              <w:pStyle w:val="TableParagraph"/>
              <w:ind w:left="121" w:right="115"/>
              <w:rPr>
                <w:sz w:val="24"/>
              </w:rPr>
            </w:pPr>
            <w:r>
              <w:rPr>
                <w:sz w:val="24"/>
              </w:rPr>
              <w:t xml:space="preserve">post- rather than </w:t>
            </w:r>
            <w:proofErr w:type="spellStart"/>
            <w:r>
              <w:rPr>
                <w:sz w:val="24"/>
              </w:rPr>
              <w:t>peri</w:t>
            </w:r>
            <w:proofErr w:type="spellEnd"/>
            <w:r>
              <w:rPr>
                <w:sz w:val="24"/>
              </w:rPr>
              <w:t>-menopausal) and relevant HRT status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368"/>
        </w:trPr>
        <w:tc>
          <w:tcPr>
            <w:tcW w:w="3129" w:type="dxa"/>
          </w:tcPr>
          <w:p w:rsidR="007A4763" w:rsidRDefault="006D585D" w:rsidP="00954559">
            <w:pPr>
              <w:pStyle w:val="Heading3"/>
            </w:pPr>
            <w:r>
              <w:t>Heavy menstrual</w:t>
            </w:r>
            <w:r w:rsidR="00D722A6">
              <w:t xml:space="preserve"> </w:t>
            </w:r>
            <w:r>
              <w:t>bleeding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 w:rsidP="00551F2E">
            <w:pPr>
              <w:pStyle w:val="TableParagraph"/>
              <w:ind w:left="91" w:right="45"/>
              <w:rPr>
                <w:sz w:val="24"/>
              </w:rPr>
            </w:pPr>
            <w:r>
              <w:rPr>
                <w:color w:val="006FC0"/>
                <w:spacing w:val="-4"/>
                <w:sz w:val="24"/>
              </w:rPr>
              <w:t xml:space="preserve">See </w:t>
            </w:r>
            <w:r>
              <w:rPr>
                <w:color w:val="006FC0"/>
                <w:spacing w:val="-7"/>
                <w:sz w:val="24"/>
              </w:rPr>
              <w:t>Footnote</w:t>
            </w:r>
            <w:r>
              <w:rPr>
                <w:color w:val="006FC0"/>
                <w:spacing w:val="48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US recommended if</w:t>
            </w:r>
          </w:p>
          <w:p w:rsidR="007A4763" w:rsidRDefault="006D585D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2" w:line="275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Uterus </w:t>
            </w:r>
            <w:r>
              <w:rPr>
                <w:sz w:val="24"/>
              </w:rPr>
              <w:t xml:space="preserve">is </w:t>
            </w:r>
            <w:r>
              <w:rPr>
                <w:spacing w:val="-8"/>
                <w:sz w:val="24"/>
              </w:rPr>
              <w:t>palpable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abdominally</w:t>
            </w:r>
          </w:p>
          <w:p w:rsidR="007A4763" w:rsidRDefault="006D585D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Vaginal </w:t>
            </w:r>
            <w:r>
              <w:rPr>
                <w:spacing w:val="-8"/>
                <w:sz w:val="24"/>
              </w:rPr>
              <w:t xml:space="preserve">examination </w:t>
            </w:r>
            <w:r>
              <w:rPr>
                <w:spacing w:val="-4"/>
                <w:sz w:val="24"/>
              </w:rPr>
              <w:t xml:space="preserve">yields </w:t>
            </w:r>
            <w:r>
              <w:rPr>
                <w:sz w:val="24"/>
              </w:rPr>
              <w:t xml:space="preserve">a </w:t>
            </w:r>
            <w:r>
              <w:rPr>
                <w:spacing w:val="-8"/>
                <w:sz w:val="24"/>
              </w:rPr>
              <w:t>pelvic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mass</w:t>
            </w:r>
          </w:p>
          <w:p w:rsidR="007A4763" w:rsidRDefault="006D585D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Pharmaceutical </w:t>
            </w:r>
            <w:r>
              <w:rPr>
                <w:spacing w:val="-8"/>
                <w:sz w:val="24"/>
              </w:rPr>
              <w:t>treatment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fails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2766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Irregular bleeding</w:t>
            </w:r>
          </w:p>
          <w:p w:rsidR="007A4763" w:rsidRDefault="007A4763" w:rsidP="00EC5867">
            <w:pPr>
              <w:pStyle w:val="Heading3"/>
              <w:rPr>
                <w:rFonts w:ascii="Calibri"/>
              </w:rPr>
            </w:pPr>
          </w:p>
          <w:p w:rsidR="007A4763" w:rsidRDefault="006D585D" w:rsidP="00D722A6">
            <w:r>
              <w:t>inter menstrual, post-coital, frequent, prolonged, irregular cycle</w:t>
            </w:r>
          </w:p>
          <w:p w:rsidR="007A4763" w:rsidRDefault="007A4763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7A4763" w:rsidRDefault="006D585D" w:rsidP="00551F2E">
            <w:pPr>
              <w:pStyle w:val="TableParagraph"/>
              <w:ind w:right="44"/>
              <w:rPr>
                <w:sz w:val="24"/>
              </w:rPr>
            </w:pPr>
            <w:r>
              <w:rPr>
                <w:color w:val="006FC0"/>
                <w:spacing w:val="-4"/>
                <w:sz w:val="24"/>
              </w:rPr>
              <w:t xml:space="preserve">See </w:t>
            </w:r>
            <w:r>
              <w:rPr>
                <w:color w:val="006FC0"/>
                <w:spacing w:val="-7"/>
                <w:sz w:val="24"/>
              </w:rPr>
              <w:t>Footnote</w:t>
            </w:r>
            <w:r>
              <w:rPr>
                <w:color w:val="006FC0"/>
                <w:spacing w:val="50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5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As only symptom &lt;40</w:t>
            </w:r>
          </w:p>
          <w:p w:rsidR="007A4763" w:rsidRDefault="006D585D">
            <w:pPr>
              <w:pStyle w:val="TableParagraph"/>
              <w:spacing w:before="47" w:line="562" w:lineRule="exact"/>
              <w:ind w:left="121" w:right="1582"/>
              <w:rPr>
                <w:sz w:val="24"/>
              </w:rPr>
            </w:pPr>
            <w:r>
              <w:rPr>
                <w:sz w:val="24"/>
              </w:rPr>
              <w:t>With abdominopelvic mass Heavy irregular bleeding &gt;40</w:t>
            </w:r>
          </w:p>
          <w:p w:rsidR="007A4763" w:rsidRDefault="006D585D">
            <w:pPr>
              <w:pStyle w:val="TableParagraph"/>
              <w:tabs>
                <w:tab w:val="left" w:pos="539"/>
              </w:tabs>
              <w:spacing w:line="211" w:lineRule="exact"/>
              <w:ind w:left="1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Refer </w:t>
            </w:r>
            <w:r>
              <w:rPr>
                <w:spacing w:val="-6"/>
                <w:sz w:val="24"/>
              </w:rPr>
              <w:t xml:space="preserve">to Gynaecology </w:t>
            </w:r>
            <w:r>
              <w:rPr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consideration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</w:p>
          <w:p w:rsidR="007A4763" w:rsidRDefault="006D585D">
            <w:pPr>
              <w:pStyle w:val="TableParagraph"/>
              <w:spacing w:line="275" w:lineRule="exact"/>
              <w:ind w:left="515" w:right="3248"/>
              <w:jc w:val="center"/>
              <w:rPr>
                <w:sz w:val="24"/>
              </w:rPr>
            </w:pPr>
            <w:r>
              <w:rPr>
                <w:sz w:val="24"/>
              </w:rPr>
              <w:t>hysteroscopy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489" w:lineRule="auto"/>
              <w:ind w:left="108" w:right="1031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 xml:space="preserve">YES </w:t>
            </w:r>
            <w:proofErr w:type="spellStart"/>
            <w:r>
              <w:rPr>
                <w:b/>
                <w:color w:val="4F6128"/>
                <w:sz w:val="24"/>
              </w:rPr>
              <w:t>YES</w:t>
            </w:r>
            <w:proofErr w:type="spellEnd"/>
          </w:p>
        </w:tc>
      </w:tr>
      <w:tr w:rsidR="007A4763">
        <w:trPr>
          <w:trHeight w:val="2204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Post natal bleeding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sz w:val="24"/>
              </w:rPr>
              <w:t>Women who are up to 21 days PN should be</w:t>
            </w:r>
          </w:p>
          <w:p w:rsidR="007A4763" w:rsidRDefault="006D585D">
            <w:pPr>
              <w:pStyle w:val="TableParagraph"/>
              <w:spacing w:line="252" w:lineRule="auto"/>
              <w:ind w:left="121" w:right="261"/>
              <w:rPr>
                <w:sz w:val="24"/>
              </w:rPr>
            </w:pPr>
            <w:r>
              <w:rPr>
                <w:sz w:val="24"/>
              </w:rPr>
              <w:t>referred to O&amp;G for consultant input or DPAU scan</w:t>
            </w:r>
          </w:p>
          <w:p w:rsidR="007A4763" w:rsidRDefault="007A4763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line="237" w:lineRule="auto"/>
              <w:ind w:left="121" w:right="115"/>
              <w:rPr>
                <w:sz w:val="24"/>
              </w:rPr>
            </w:pPr>
            <w:r>
              <w:rPr>
                <w:sz w:val="24"/>
              </w:rPr>
              <w:t xml:space="preserve">Women who are over 3 weeks PN should be seen in the EPAU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main scanning department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199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2752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PCOS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Only useful in </w:t>
            </w:r>
            <w:r>
              <w:rPr>
                <w:b/>
                <w:sz w:val="24"/>
              </w:rPr>
              <w:t xml:space="preserve">secondary care </w:t>
            </w:r>
            <w:r>
              <w:rPr>
                <w:sz w:val="24"/>
              </w:rPr>
              <w:t>if investigating</w:t>
            </w:r>
          </w:p>
          <w:p w:rsidR="007A4763" w:rsidRDefault="006D585D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subfertility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Diagnosis of PCOS is based on:</w:t>
            </w:r>
          </w:p>
          <w:p w:rsidR="007A4763" w:rsidRDefault="006D585D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>Irregular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menses</w:t>
            </w:r>
          </w:p>
          <w:p w:rsidR="007A4763" w:rsidRDefault="006D585D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Symptoms </w:t>
            </w:r>
            <w:r>
              <w:rPr>
                <w:spacing w:val="-5"/>
                <w:sz w:val="24"/>
              </w:rPr>
              <w:t xml:space="preserve">and signs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hyperandrogenism</w:t>
            </w:r>
            <w:proofErr w:type="spellEnd"/>
          </w:p>
          <w:p w:rsidR="007A4763" w:rsidRDefault="006D585D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Biochemical </w:t>
            </w:r>
            <w:r>
              <w:rPr>
                <w:spacing w:val="-6"/>
                <w:sz w:val="24"/>
              </w:rPr>
              <w:t xml:space="preserve">evidence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hyperandrogenism</w:t>
            </w:r>
            <w:proofErr w:type="spellEnd"/>
          </w:p>
          <w:p w:rsidR="007A4763" w:rsidRDefault="006D585D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15" w:line="237" w:lineRule="auto"/>
              <w:ind w:right="217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Biochemical </w:t>
            </w:r>
            <w:r>
              <w:rPr>
                <w:spacing w:val="-7"/>
                <w:sz w:val="24"/>
              </w:rPr>
              <w:t xml:space="preserve">exclusion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pacing w:val="-7"/>
                <w:sz w:val="24"/>
              </w:rPr>
              <w:t xml:space="preserve">other </w:t>
            </w:r>
            <w:r>
              <w:rPr>
                <w:spacing w:val="-4"/>
                <w:sz w:val="24"/>
              </w:rPr>
              <w:t>confounding conditions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820"/>
        </w:trPr>
        <w:tc>
          <w:tcPr>
            <w:tcW w:w="3129" w:type="dxa"/>
          </w:tcPr>
          <w:p w:rsidR="007A4763" w:rsidRDefault="006D585D" w:rsidP="00551F2E">
            <w:pPr>
              <w:pStyle w:val="Heading3"/>
            </w:pPr>
            <w:r>
              <w:t>Investigation of</w:t>
            </w:r>
            <w:r w:rsidR="00551F2E">
              <w:t xml:space="preserve"> </w:t>
            </w:r>
            <w:r>
              <w:t>subfertility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Accepted if concurrent referral made to fertility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2752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IUCD/</w:t>
            </w:r>
            <w:proofErr w:type="spellStart"/>
            <w:r>
              <w:t>Mirena</w:t>
            </w:r>
            <w:proofErr w:type="spellEnd"/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US to assess for presence of fibroids if</w:t>
            </w:r>
          </w:p>
          <w:p w:rsidR="007A4763" w:rsidRDefault="006D585D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placement of </w:t>
            </w:r>
            <w:proofErr w:type="spellStart"/>
            <w:r>
              <w:rPr>
                <w:sz w:val="24"/>
              </w:rPr>
              <w:t>Mirena</w:t>
            </w:r>
            <w:proofErr w:type="spellEnd"/>
            <w:r>
              <w:rPr>
                <w:sz w:val="24"/>
              </w:rPr>
              <w:t xml:space="preserve"> is considered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252" w:lineRule="auto"/>
              <w:ind w:left="121"/>
              <w:rPr>
                <w:sz w:val="24"/>
              </w:rPr>
            </w:pPr>
            <w:r>
              <w:rPr>
                <w:sz w:val="24"/>
              </w:rPr>
              <w:t>US to identify presence of IUCD when threads not visible</w:t>
            </w:r>
          </w:p>
          <w:p w:rsidR="007A4763" w:rsidRDefault="007A4763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:rsidR="007A4763" w:rsidRDefault="006D585D">
            <w:pPr>
              <w:pStyle w:val="TableParagraph"/>
              <w:spacing w:before="1" w:line="237" w:lineRule="auto"/>
              <w:ind w:left="121" w:right="594"/>
              <w:rPr>
                <w:sz w:val="24"/>
              </w:rPr>
            </w:pPr>
            <w:r>
              <w:rPr>
                <w:sz w:val="24"/>
              </w:rPr>
              <w:t>Sonographer will arrange AXR if IUCD not found on US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rPr>
                <w:rFonts w:ascii="Calibri"/>
                <w:sz w:val="26"/>
              </w:rPr>
            </w:pPr>
          </w:p>
          <w:p w:rsidR="007A4763" w:rsidRDefault="006D585D">
            <w:pPr>
              <w:pStyle w:val="TableParagraph"/>
              <w:spacing w:before="228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</w:tbl>
    <w:p w:rsidR="007A4763" w:rsidRDefault="007A4763">
      <w:pPr>
        <w:rPr>
          <w:sz w:val="24"/>
        </w:rPr>
        <w:sectPr w:rsidR="007A4763">
          <w:pgSz w:w="11910" w:h="16840"/>
          <w:pgMar w:top="860" w:right="660" w:bottom="280" w:left="6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233"/>
        <w:gridCol w:w="1975"/>
      </w:tblGrid>
      <w:tr w:rsidR="007A4763">
        <w:trPr>
          <w:trHeight w:val="605"/>
        </w:trPr>
        <w:tc>
          <w:tcPr>
            <w:tcW w:w="3129" w:type="dxa"/>
            <w:shd w:val="clear" w:color="auto" w:fill="D9D9D9"/>
          </w:tcPr>
          <w:p w:rsidR="007A4763" w:rsidRDefault="006D585D" w:rsidP="00B01E5F">
            <w:pPr>
              <w:pStyle w:val="Heading2"/>
            </w:pPr>
            <w:bookmarkStart w:id="5" w:name="_Toc533072057"/>
            <w:r>
              <w:t>MSK</w:t>
            </w:r>
            <w:bookmarkEnd w:id="5"/>
          </w:p>
        </w:tc>
        <w:tc>
          <w:tcPr>
            <w:tcW w:w="5233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  <w:shd w:val="clear" w:color="auto" w:fill="D9D9D9"/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4763">
        <w:trPr>
          <w:trHeight w:val="1108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Shoulder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Impingement/rotator cuff pathology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SCJ OA/pathology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604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Elbow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Common flexor/extensor tenosynovitis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605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Wrist/hand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Specific tendon/joint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604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Hip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Palpable lump – bursitis?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1656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Knee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Patellar/quadriceps tendinopathy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475" w:lineRule="auto"/>
              <w:ind w:left="121" w:right="308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Popliteal </w:t>
            </w:r>
            <w:r>
              <w:rPr>
                <w:sz w:val="24"/>
              </w:rPr>
              <w:t xml:space="preserve">cyst </w:t>
            </w:r>
            <w:r>
              <w:rPr>
                <w:spacing w:val="-5"/>
                <w:sz w:val="24"/>
              </w:rPr>
              <w:t>Meniscal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pathology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spacing w:before="3"/>
              <w:rPr>
                <w:rFonts w:ascii="Calibri"/>
              </w:rPr>
            </w:pPr>
          </w:p>
          <w:p w:rsidR="007A4763" w:rsidRDefault="006D585D">
            <w:pPr>
              <w:pStyle w:val="TableParagraph"/>
              <w:spacing w:line="475" w:lineRule="auto"/>
              <w:ind w:left="108" w:right="1031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 xml:space="preserve">YES </w:t>
            </w: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2204"/>
        </w:trPr>
        <w:tc>
          <w:tcPr>
            <w:tcW w:w="3129" w:type="dxa"/>
          </w:tcPr>
          <w:p w:rsidR="007A4763" w:rsidRDefault="006D585D" w:rsidP="00EC5867">
            <w:pPr>
              <w:pStyle w:val="Heading3"/>
            </w:pPr>
            <w:r>
              <w:t>Ankle/foot</w:t>
            </w:r>
          </w:p>
        </w:tc>
        <w:tc>
          <w:tcPr>
            <w:tcW w:w="5233" w:type="dxa"/>
          </w:tcPr>
          <w:p w:rsidR="007A4763" w:rsidRDefault="006D585D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Achilles tendinopathy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spacing w:line="475" w:lineRule="auto"/>
              <w:ind w:left="121" w:right="2702"/>
              <w:rPr>
                <w:sz w:val="24"/>
              </w:rPr>
            </w:pPr>
            <w:r>
              <w:rPr>
                <w:sz w:val="24"/>
              </w:rPr>
              <w:t xml:space="preserve">Plantar fasciitis </w:t>
            </w:r>
            <w:proofErr w:type="spellStart"/>
            <w:r>
              <w:rPr>
                <w:sz w:val="24"/>
              </w:rPr>
              <w:t>Mortons</w:t>
            </w:r>
            <w:proofErr w:type="spellEnd"/>
            <w:r>
              <w:rPr>
                <w:sz w:val="24"/>
              </w:rPr>
              <w:t xml:space="preserve"> neuroma</w:t>
            </w:r>
          </w:p>
          <w:p w:rsidR="007A4763" w:rsidRDefault="006D585D">
            <w:pPr>
              <w:pStyle w:val="TableParagraph"/>
              <w:spacing w:before="3"/>
              <w:ind w:left="121"/>
              <w:rPr>
                <w:sz w:val="24"/>
              </w:rPr>
            </w:pPr>
            <w:r>
              <w:rPr>
                <w:sz w:val="24"/>
              </w:rPr>
              <w:t xml:space="preserve">Anterior </w:t>
            </w:r>
            <w:proofErr w:type="spellStart"/>
            <w:r>
              <w:rPr>
                <w:sz w:val="24"/>
              </w:rPr>
              <w:t>talofibular</w:t>
            </w:r>
            <w:proofErr w:type="spellEnd"/>
            <w:r>
              <w:rPr>
                <w:sz w:val="24"/>
              </w:rPr>
              <w:t xml:space="preserve"> ligament</w:t>
            </w:r>
          </w:p>
        </w:tc>
        <w:tc>
          <w:tcPr>
            <w:tcW w:w="1975" w:type="dxa"/>
          </w:tcPr>
          <w:p w:rsidR="007A4763" w:rsidRDefault="006D585D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  <w:p w:rsidR="007A4763" w:rsidRDefault="007A476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7A4763" w:rsidRDefault="006D585D">
            <w:pPr>
              <w:pStyle w:val="TableParagraph"/>
              <w:spacing w:line="475" w:lineRule="auto"/>
              <w:ind w:left="108" w:right="1384"/>
              <w:jc w:val="both"/>
              <w:rPr>
                <w:b/>
                <w:sz w:val="24"/>
              </w:rPr>
            </w:pPr>
            <w:r>
              <w:rPr>
                <w:b/>
                <w:color w:val="4F6128"/>
                <w:spacing w:val="-9"/>
                <w:sz w:val="24"/>
              </w:rPr>
              <w:t xml:space="preserve">YES </w:t>
            </w:r>
            <w:proofErr w:type="spellStart"/>
            <w:r>
              <w:rPr>
                <w:b/>
                <w:color w:val="4F6128"/>
                <w:spacing w:val="-9"/>
                <w:sz w:val="24"/>
              </w:rPr>
              <w:t>YES</w:t>
            </w:r>
            <w:proofErr w:type="spellEnd"/>
            <w:r>
              <w:rPr>
                <w:b/>
                <w:color w:val="4F6128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pacing w:val="-4"/>
                <w:sz w:val="24"/>
              </w:rPr>
              <w:t>NO</w:t>
            </w:r>
          </w:p>
        </w:tc>
      </w:tr>
      <w:tr w:rsidR="007A4763">
        <w:trPr>
          <w:trHeight w:val="397"/>
        </w:trPr>
        <w:tc>
          <w:tcPr>
            <w:tcW w:w="3129" w:type="dxa"/>
            <w:tcBorders>
              <w:bottom w:val="nil"/>
            </w:tcBorders>
          </w:tcPr>
          <w:p w:rsidR="007A4763" w:rsidRDefault="006D585D" w:rsidP="00EC5867">
            <w:pPr>
              <w:pStyle w:val="Heading3"/>
            </w:pPr>
            <w:r>
              <w:t>Any body part</w:t>
            </w:r>
          </w:p>
        </w:tc>
        <w:tc>
          <w:tcPr>
            <w:tcW w:w="5233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Diffuse pain/swelling</w:t>
            </w:r>
          </w:p>
        </w:tc>
        <w:tc>
          <w:tcPr>
            <w:tcW w:w="1975" w:type="dxa"/>
            <w:tcBorders>
              <w:bottom w:val="nil"/>
            </w:tcBorders>
          </w:tcPr>
          <w:p w:rsidR="007A4763" w:rsidRDefault="006D585D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828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21" w:right="115"/>
              <w:rPr>
                <w:sz w:val="24"/>
              </w:rPr>
            </w:pPr>
            <w:r>
              <w:rPr>
                <w:sz w:val="24"/>
              </w:rPr>
              <w:t xml:space="preserve">Non-specific requests,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“joint/tendon/ligament pathology?”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554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21"/>
              <w:rPr>
                <w:sz w:val="24"/>
              </w:rPr>
            </w:pPr>
            <w:r>
              <w:rPr>
                <w:sz w:val="24"/>
              </w:rPr>
              <w:t>Palpable lump – if changing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4F6128"/>
                <w:sz w:val="24"/>
              </w:rPr>
              <w:t>YES</w:t>
            </w:r>
          </w:p>
        </w:tc>
      </w:tr>
      <w:tr w:rsidR="007A4763">
        <w:trPr>
          <w:trHeight w:val="554"/>
        </w:trPr>
        <w:tc>
          <w:tcPr>
            <w:tcW w:w="3129" w:type="dxa"/>
            <w:tcBorders>
              <w:top w:val="nil"/>
              <w:bottom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21"/>
              <w:rPr>
                <w:sz w:val="24"/>
              </w:rPr>
            </w:pPr>
            <w:r>
              <w:rPr>
                <w:sz w:val="24"/>
              </w:rPr>
              <w:t>Whole limb requests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A4763" w:rsidRDefault="006D585D"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  <w:tr w:rsidR="007A4763">
        <w:trPr>
          <w:trHeight w:val="689"/>
        </w:trPr>
        <w:tc>
          <w:tcPr>
            <w:tcW w:w="3129" w:type="dxa"/>
            <w:tcBorders>
              <w:top w:val="nil"/>
            </w:tcBorders>
          </w:tcPr>
          <w:p w:rsidR="007A4763" w:rsidRDefault="007A47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3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4"/>
              <w:ind w:left="121"/>
              <w:rPr>
                <w:sz w:val="24"/>
              </w:rPr>
            </w:pPr>
            <w:r>
              <w:rPr>
                <w:sz w:val="24"/>
              </w:rPr>
              <w:t>Intra-articular pathology</w:t>
            </w:r>
          </w:p>
        </w:tc>
        <w:tc>
          <w:tcPr>
            <w:tcW w:w="1975" w:type="dxa"/>
            <w:tcBorders>
              <w:top w:val="nil"/>
            </w:tcBorders>
          </w:tcPr>
          <w:p w:rsidR="007A4763" w:rsidRDefault="006D585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</w:t>
            </w:r>
          </w:p>
        </w:tc>
      </w:tr>
    </w:tbl>
    <w:p w:rsidR="007A4763" w:rsidRDefault="007A4763">
      <w:pPr>
        <w:pStyle w:val="BodyText"/>
        <w:rPr>
          <w:rFonts w:ascii="Calibri"/>
          <w:sz w:val="20"/>
        </w:rPr>
      </w:pPr>
    </w:p>
    <w:p w:rsidR="007A4763" w:rsidRDefault="007A4763">
      <w:pPr>
        <w:pStyle w:val="BodyText"/>
        <w:rPr>
          <w:rFonts w:ascii="Calibri"/>
          <w:sz w:val="20"/>
        </w:rPr>
      </w:pPr>
    </w:p>
    <w:p w:rsidR="007A4763" w:rsidRDefault="007A4763">
      <w:pPr>
        <w:pStyle w:val="BodyText"/>
        <w:rPr>
          <w:rFonts w:ascii="Calibri"/>
          <w:sz w:val="20"/>
        </w:rPr>
      </w:pPr>
    </w:p>
    <w:p w:rsidR="007A4763" w:rsidRDefault="007A4763">
      <w:pPr>
        <w:pStyle w:val="BodyText"/>
        <w:spacing w:before="6"/>
        <w:rPr>
          <w:rFonts w:ascii="Calibri"/>
          <w:sz w:val="21"/>
        </w:rPr>
      </w:pPr>
    </w:p>
    <w:p w:rsidR="007A4763" w:rsidRDefault="006D585D">
      <w:pPr>
        <w:pStyle w:val="Heading1"/>
        <w:spacing w:before="99" w:line="237" w:lineRule="auto"/>
        <w:ind w:right="1081"/>
      </w:pPr>
      <w:bookmarkStart w:id="6" w:name="_Toc533072058"/>
      <w:r>
        <w:t>For indications that fall outside these guidelines, radiologist discussion is recommended on the Hot Hub telephone number:</w:t>
      </w:r>
      <w:bookmarkEnd w:id="6"/>
    </w:p>
    <w:p w:rsidR="007A4763" w:rsidRDefault="007A4763">
      <w:pPr>
        <w:pStyle w:val="BodyText"/>
        <w:rPr>
          <w:b/>
          <w:sz w:val="26"/>
        </w:rPr>
      </w:pPr>
    </w:p>
    <w:p w:rsidR="007A4763" w:rsidRDefault="007A4763">
      <w:pPr>
        <w:pStyle w:val="BodyText"/>
        <w:spacing w:before="6"/>
        <w:rPr>
          <w:b/>
          <w:sz w:val="21"/>
        </w:rPr>
      </w:pPr>
    </w:p>
    <w:p w:rsidR="007A4763" w:rsidRDefault="006D585D">
      <w:pPr>
        <w:pStyle w:val="BodyText"/>
        <w:tabs>
          <w:tab w:val="left" w:pos="5827"/>
        </w:tabs>
        <w:spacing w:line="489" w:lineRule="auto"/>
        <w:ind w:left="781" w:right="3245"/>
      </w:pPr>
      <w:proofErr w:type="gramStart"/>
      <w:r>
        <w:rPr>
          <w:spacing w:val="-7"/>
        </w:rPr>
        <w:t xml:space="preserve">Basingstoke  </w:t>
      </w:r>
      <w:r>
        <w:rPr>
          <w:spacing w:val="-5"/>
        </w:rPr>
        <w:t>and</w:t>
      </w:r>
      <w:proofErr w:type="gramEnd"/>
      <w:r>
        <w:rPr>
          <w:spacing w:val="-5"/>
        </w:rPr>
        <w:t xml:space="preserve">  </w:t>
      </w:r>
      <w:r>
        <w:rPr>
          <w:spacing w:val="-7"/>
        </w:rPr>
        <w:t>North</w:t>
      </w:r>
      <w:r>
        <w:rPr>
          <w:spacing w:val="-1"/>
        </w:rPr>
        <w:t xml:space="preserve"> </w:t>
      </w:r>
      <w:r>
        <w:rPr>
          <w:spacing w:val="-7"/>
        </w:rPr>
        <w:t>Hampshire</w:t>
      </w:r>
      <w:r>
        <w:rPr>
          <w:spacing w:val="47"/>
        </w:rPr>
        <w:t xml:space="preserve"> </w:t>
      </w:r>
      <w:r>
        <w:rPr>
          <w:spacing w:val="-8"/>
        </w:rPr>
        <w:t>Hospital</w:t>
      </w:r>
      <w:r>
        <w:rPr>
          <w:spacing w:val="-8"/>
        </w:rPr>
        <w:tab/>
      </w:r>
      <w:r>
        <w:rPr>
          <w:spacing w:val="-6"/>
        </w:rPr>
        <w:t xml:space="preserve">01256 </w:t>
      </w:r>
      <w:r>
        <w:rPr>
          <w:spacing w:val="-7"/>
        </w:rPr>
        <w:t xml:space="preserve">313982 </w:t>
      </w:r>
      <w:r>
        <w:rPr>
          <w:spacing w:val="-6"/>
        </w:rPr>
        <w:t xml:space="preserve">Royal  </w:t>
      </w:r>
      <w:r>
        <w:rPr>
          <w:spacing w:val="-7"/>
        </w:rPr>
        <w:t>Hampshire</w:t>
      </w:r>
      <w:r>
        <w:rPr>
          <w:spacing w:val="15"/>
        </w:rPr>
        <w:t xml:space="preserve"> </w:t>
      </w:r>
      <w:r>
        <w:rPr>
          <w:spacing w:val="-6"/>
        </w:rPr>
        <w:t>County</w:t>
      </w:r>
      <w:r>
        <w:rPr>
          <w:spacing w:val="43"/>
        </w:rPr>
        <w:t xml:space="preserve"> </w:t>
      </w:r>
      <w:r>
        <w:rPr>
          <w:spacing w:val="-8"/>
        </w:rPr>
        <w:t>Hospital</w:t>
      </w:r>
      <w:r>
        <w:rPr>
          <w:spacing w:val="-8"/>
        </w:rPr>
        <w:tab/>
      </w:r>
      <w:r>
        <w:rPr>
          <w:spacing w:val="-6"/>
        </w:rPr>
        <w:t>01962</w:t>
      </w:r>
      <w:r>
        <w:rPr>
          <w:spacing w:val="40"/>
        </w:rPr>
        <w:t xml:space="preserve"> </w:t>
      </w:r>
      <w:r>
        <w:rPr>
          <w:spacing w:val="-7"/>
        </w:rPr>
        <w:t>825000</w:t>
      </w:r>
    </w:p>
    <w:p w:rsidR="007A4763" w:rsidRDefault="007A4763">
      <w:pPr>
        <w:spacing w:line="489" w:lineRule="auto"/>
        <w:sectPr w:rsidR="007A4763">
          <w:pgSz w:w="11910" w:h="16840"/>
          <w:pgMar w:top="860" w:right="660" w:bottom="280" w:left="660" w:header="720" w:footer="720" w:gutter="0"/>
          <w:cols w:space="720"/>
        </w:sectPr>
      </w:pPr>
    </w:p>
    <w:p w:rsidR="007A4763" w:rsidRDefault="006D585D">
      <w:pPr>
        <w:pStyle w:val="Heading1"/>
      </w:pPr>
      <w:bookmarkStart w:id="7" w:name="_Toc533072059"/>
      <w:r>
        <w:t>FOOTNOTES</w:t>
      </w:r>
      <w:bookmarkEnd w:id="7"/>
    </w:p>
    <w:p w:rsidR="007A4763" w:rsidRDefault="007A4763">
      <w:pPr>
        <w:pStyle w:val="BodyText"/>
        <w:spacing w:before="8"/>
        <w:rPr>
          <w:b/>
          <w:sz w:val="23"/>
        </w:rPr>
      </w:pPr>
    </w:p>
    <w:p w:rsidR="007A4763" w:rsidRDefault="006D585D">
      <w:pPr>
        <w:pStyle w:val="ListParagraph"/>
        <w:numPr>
          <w:ilvl w:val="0"/>
          <w:numId w:val="1"/>
        </w:numPr>
        <w:tabs>
          <w:tab w:val="left" w:pos="1056"/>
        </w:tabs>
        <w:ind w:firstLine="0"/>
        <w:rPr>
          <w:sz w:val="24"/>
        </w:rPr>
      </w:pPr>
      <w:r>
        <w:rPr>
          <w:spacing w:val="-7"/>
          <w:sz w:val="24"/>
        </w:rPr>
        <w:t xml:space="preserve">Liver </w:t>
      </w:r>
      <w:r>
        <w:rPr>
          <w:spacing w:val="-4"/>
          <w:sz w:val="24"/>
        </w:rPr>
        <w:t xml:space="preserve">Function </w:t>
      </w:r>
      <w:r>
        <w:rPr>
          <w:spacing w:val="-8"/>
          <w:sz w:val="24"/>
        </w:rPr>
        <w:t xml:space="preserve">tests </w:t>
      </w:r>
      <w:r>
        <w:rPr>
          <w:sz w:val="24"/>
        </w:rPr>
        <w:t xml:space="preserve">- </w:t>
      </w:r>
      <w:r>
        <w:rPr>
          <w:spacing w:val="-7"/>
          <w:sz w:val="24"/>
        </w:rPr>
        <w:t xml:space="preserve">Isolated </w:t>
      </w:r>
      <w:r>
        <w:rPr>
          <w:spacing w:val="-6"/>
          <w:sz w:val="24"/>
        </w:rPr>
        <w:t xml:space="preserve">enzyme </w:t>
      </w:r>
      <w:r>
        <w:rPr>
          <w:spacing w:val="-3"/>
          <w:sz w:val="24"/>
        </w:rPr>
        <w:t xml:space="preserve">rises </w:t>
      </w:r>
      <w:r>
        <w:rPr>
          <w:sz w:val="24"/>
        </w:rPr>
        <w:t xml:space="preserve">– </w:t>
      </w:r>
      <w:r>
        <w:rPr>
          <w:spacing w:val="-10"/>
          <w:sz w:val="24"/>
        </w:rPr>
        <w:t xml:space="preserve">US </w:t>
      </w:r>
      <w:r>
        <w:rPr>
          <w:spacing w:val="-7"/>
          <w:sz w:val="24"/>
        </w:rPr>
        <w:t xml:space="preserve">generally </w:t>
      </w:r>
      <w:r>
        <w:rPr>
          <w:spacing w:val="-5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indicated</w:t>
      </w:r>
    </w:p>
    <w:p w:rsidR="007A4763" w:rsidRDefault="007A4763">
      <w:pPr>
        <w:pStyle w:val="BodyText"/>
        <w:rPr>
          <w:sz w:val="25"/>
        </w:rPr>
      </w:pPr>
    </w:p>
    <w:p w:rsidR="007A4763" w:rsidRDefault="006D585D">
      <w:pPr>
        <w:pStyle w:val="BodyText"/>
        <w:spacing w:before="1" w:line="237" w:lineRule="auto"/>
        <w:ind w:left="781" w:right="1081"/>
      </w:pPr>
      <w:r>
        <w:rPr>
          <w:spacing w:val="-4"/>
        </w:rPr>
        <w:t xml:space="preserve">ALT </w:t>
      </w:r>
      <w:r>
        <w:rPr>
          <w:spacing w:val="-7"/>
        </w:rPr>
        <w:t xml:space="preserve">alone: Fatty </w:t>
      </w:r>
      <w:r>
        <w:rPr>
          <w:spacing w:val="-8"/>
        </w:rPr>
        <w:t xml:space="preserve">liver </w:t>
      </w:r>
      <w:r>
        <w:t xml:space="preserve">(risk </w:t>
      </w:r>
      <w:r>
        <w:rPr>
          <w:spacing w:val="-3"/>
        </w:rPr>
        <w:t xml:space="preserve">factors; </w:t>
      </w:r>
      <w:r>
        <w:rPr>
          <w:spacing w:val="-5"/>
        </w:rPr>
        <w:t xml:space="preserve">obesity, hyperlipidaemia, </w:t>
      </w:r>
      <w:r>
        <w:rPr>
          <w:spacing w:val="-7"/>
        </w:rPr>
        <w:t xml:space="preserve">DM) </w:t>
      </w:r>
      <w:r>
        <w:rPr>
          <w:spacing w:val="-4"/>
        </w:rPr>
        <w:t xml:space="preserve">or </w:t>
      </w:r>
      <w:r>
        <w:rPr>
          <w:spacing w:val="-3"/>
        </w:rPr>
        <w:t xml:space="preserve">Drugs </w:t>
      </w:r>
      <w:r>
        <w:rPr>
          <w:spacing w:val="-6"/>
        </w:rPr>
        <w:t xml:space="preserve">(statins/ </w:t>
      </w:r>
      <w:r>
        <w:rPr>
          <w:spacing w:val="-3"/>
        </w:rPr>
        <w:t xml:space="preserve">oral </w:t>
      </w:r>
      <w:r>
        <w:rPr>
          <w:spacing w:val="-5"/>
        </w:rPr>
        <w:t>contraceptive</w:t>
      </w:r>
      <w:r>
        <w:rPr>
          <w:spacing w:val="23"/>
        </w:rPr>
        <w:t xml:space="preserve"> </w:t>
      </w:r>
      <w:r>
        <w:rPr>
          <w:spacing w:val="-5"/>
        </w:rPr>
        <w:t>pill)</w:t>
      </w:r>
    </w:p>
    <w:p w:rsidR="007A4763" w:rsidRDefault="007A4763">
      <w:pPr>
        <w:pStyle w:val="BodyText"/>
        <w:spacing w:before="8"/>
        <w:rPr>
          <w:sz w:val="23"/>
        </w:rPr>
      </w:pPr>
    </w:p>
    <w:p w:rsidR="007A4763" w:rsidRDefault="006D585D">
      <w:pPr>
        <w:pStyle w:val="BodyText"/>
        <w:ind w:left="781" w:right="1303"/>
      </w:pPr>
      <w:r>
        <w:t>ALP alone: Probably bone, not liver (adolescent growth, Paget’s disease, recent fracture)</w:t>
      </w:r>
    </w:p>
    <w:p w:rsidR="007A4763" w:rsidRDefault="007A4763">
      <w:pPr>
        <w:pStyle w:val="BodyText"/>
        <w:spacing w:before="10"/>
      </w:pPr>
    </w:p>
    <w:p w:rsidR="007A4763" w:rsidRDefault="006D585D">
      <w:pPr>
        <w:pStyle w:val="BodyText"/>
        <w:spacing w:line="237" w:lineRule="auto"/>
        <w:ind w:left="781" w:right="1081"/>
      </w:pPr>
      <w:r>
        <w:t>GGT alone: Usually alcohol. Consider prescribed drugs. Fatty liver (risk factors; obesity, TGs, DM)</w:t>
      </w:r>
    </w:p>
    <w:p w:rsidR="007A4763" w:rsidRDefault="007A4763">
      <w:pPr>
        <w:pStyle w:val="BodyText"/>
        <w:spacing w:before="8"/>
        <w:rPr>
          <w:sz w:val="23"/>
        </w:rPr>
      </w:pPr>
    </w:p>
    <w:p w:rsidR="007A4763" w:rsidRDefault="006D585D">
      <w:pPr>
        <w:pStyle w:val="BodyText"/>
        <w:ind w:left="781"/>
      </w:pPr>
      <w:r>
        <w:t>AST alone: Muscle injury or inflammation.</w:t>
      </w:r>
    </w:p>
    <w:p w:rsidR="007A4763" w:rsidRDefault="007A4763">
      <w:pPr>
        <w:pStyle w:val="BodyText"/>
        <w:spacing w:before="7"/>
        <w:rPr>
          <w:sz w:val="23"/>
        </w:rPr>
      </w:pPr>
    </w:p>
    <w:p w:rsidR="007A4763" w:rsidRDefault="006D585D">
      <w:pPr>
        <w:pStyle w:val="BodyText"/>
        <w:spacing w:before="1"/>
        <w:ind w:left="781"/>
      </w:pPr>
      <w:r>
        <w:t>Bilirubin alone: Gilberts syndrome (usually &lt;80mols/L)</w:t>
      </w:r>
    </w:p>
    <w:p w:rsidR="007A4763" w:rsidRDefault="007A4763">
      <w:pPr>
        <w:pStyle w:val="BodyText"/>
        <w:rPr>
          <w:sz w:val="26"/>
        </w:rPr>
      </w:pPr>
    </w:p>
    <w:p w:rsidR="007A4763" w:rsidRDefault="007A4763">
      <w:pPr>
        <w:pStyle w:val="BodyText"/>
        <w:spacing w:before="7"/>
        <w:rPr>
          <w:sz w:val="22"/>
        </w:rPr>
      </w:pPr>
    </w:p>
    <w:p w:rsidR="007A4763" w:rsidRDefault="006D585D">
      <w:pPr>
        <w:pStyle w:val="ListParagraph"/>
        <w:numPr>
          <w:ilvl w:val="0"/>
          <w:numId w:val="1"/>
        </w:numPr>
        <w:tabs>
          <w:tab w:val="left" w:pos="1055"/>
        </w:tabs>
        <w:ind w:right="3615" w:firstLine="0"/>
        <w:rPr>
          <w:sz w:val="24"/>
        </w:rPr>
      </w:pPr>
      <w:r>
        <w:rPr>
          <w:spacing w:val="-10"/>
          <w:sz w:val="24"/>
        </w:rPr>
        <w:t xml:space="preserve">UTIs </w:t>
      </w:r>
      <w:r>
        <w:rPr>
          <w:sz w:val="24"/>
        </w:rPr>
        <w:t xml:space="preserve">in </w:t>
      </w:r>
      <w:proofErr w:type="gramStart"/>
      <w:r>
        <w:rPr>
          <w:spacing w:val="-6"/>
          <w:sz w:val="24"/>
        </w:rPr>
        <w:t>under</w:t>
      </w:r>
      <w:proofErr w:type="gramEnd"/>
      <w:r>
        <w:rPr>
          <w:spacing w:val="-6"/>
          <w:sz w:val="24"/>
        </w:rPr>
        <w:t xml:space="preserve"> 16s.</w:t>
      </w:r>
      <w:hyperlink r:id="rId8"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pacing w:val="-4"/>
            <w:sz w:val="24"/>
            <w:u w:val="single" w:color="0000FF"/>
          </w:rPr>
          <w:t>https://www.nice.org.uk/guidance/cg54/chapter/1-guidance</w:t>
        </w:r>
      </w:hyperlink>
    </w:p>
    <w:p w:rsidR="007A4763" w:rsidRDefault="007A4763">
      <w:pPr>
        <w:pStyle w:val="BodyText"/>
        <w:rPr>
          <w:sz w:val="20"/>
        </w:rPr>
      </w:pPr>
    </w:p>
    <w:p w:rsidR="007A4763" w:rsidRDefault="007A4763">
      <w:pPr>
        <w:pStyle w:val="BodyText"/>
        <w:spacing w:before="2"/>
        <w:rPr>
          <w:sz w:val="20"/>
        </w:rPr>
      </w:pPr>
    </w:p>
    <w:p w:rsidR="007A4763" w:rsidRDefault="006D585D">
      <w:pPr>
        <w:pStyle w:val="ListParagraph"/>
        <w:numPr>
          <w:ilvl w:val="0"/>
          <w:numId w:val="1"/>
        </w:numPr>
        <w:tabs>
          <w:tab w:val="left" w:pos="1055"/>
        </w:tabs>
        <w:spacing w:before="98" w:line="237" w:lineRule="auto"/>
        <w:ind w:right="1606" w:firstLine="0"/>
        <w:rPr>
          <w:color w:val="393939"/>
          <w:sz w:val="24"/>
        </w:rPr>
      </w:pPr>
      <w:r>
        <w:rPr>
          <w:color w:val="393939"/>
          <w:spacing w:val="-8"/>
          <w:sz w:val="24"/>
        </w:rPr>
        <w:t xml:space="preserve">Ovarian </w:t>
      </w:r>
      <w:r>
        <w:rPr>
          <w:color w:val="393939"/>
          <w:sz w:val="24"/>
        </w:rPr>
        <w:t xml:space="preserve">cancer – </w:t>
      </w:r>
      <w:r>
        <w:rPr>
          <w:color w:val="393939"/>
          <w:spacing w:val="-6"/>
          <w:sz w:val="24"/>
        </w:rPr>
        <w:t xml:space="preserve">NICE </w:t>
      </w:r>
      <w:r>
        <w:rPr>
          <w:color w:val="393939"/>
          <w:spacing w:val="-4"/>
          <w:sz w:val="24"/>
        </w:rPr>
        <w:t xml:space="preserve">guidance </w:t>
      </w:r>
      <w:r>
        <w:rPr>
          <w:color w:val="393939"/>
          <w:sz w:val="24"/>
        </w:rPr>
        <w:t xml:space="preserve">for </w:t>
      </w:r>
      <w:r>
        <w:rPr>
          <w:color w:val="393939"/>
          <w:spacing w:val="-10"/>
          <w:sz w:val="24"/>
        </w:rPr>
        <w:t xml:space="preserve">women </w:t>
      </w:r>
      <w:r>
        <w:rPr>
          <w:color w:val="393939"/>
          <w:spacing w:val="-6"/>
          <w:sz w:val="24"/>
        </w:rPr>
        <w:t xml:space="preserve">aged </w:t>
      </w:r>
      <w:r>
        <w:rPr>
          <w:color w:val="393939"/>
          <w:spacing w:val="-4"/>
          <w:sz w:val="24"/>
        </w:rPr>
        <w:t xml:space="preserve">18 </w:t>
      </w:r>
      <w:r>
        <w:rPr>
          <w:color w:val="393939"/>
          <w:spacing w:val="-5"/>
          <w:sz w:val="24"/>
        </w:rPr>
        <w:t xml:space="preserve">and </w:t>
      </w:r>
      <w:r>
        <w:rPr>
          <w:color w:val="393939"/>
          <w:spacing w:val="-7"/>
          <w:sz w:val="24"/>
        </w:rPr>
        <w:t>over.</w:t>
      </w:r>
      <w:hyperlink r:id="rId9"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pacing w:val="-5"/>
            <w:sz w:val="24"/>
            <w:u w:val="single" w:color="0000FF"/>
          </w:rPr>
          <w:t>https://pathways.nice.org.uk/pathways/ovarian-</w:t>
        </w:r>
      </w:hyperlink>
      <w:hyperlink r:id="rId10"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pacing w:val="-4"/>
            <w:sz w:val="24"/>
            <w:u w:val="single" w:color="0000FF"/>
          </w:rPr>
          <w:t>cancer#path=view%3A/pathways/ovarian-cancer/ovarian-cancer-detection-in-</w:t>
        </w:r>
      </w:hyperlink>
      <w:hyperlink r:id="rId11">
        <w:r>
          <w:rPr>
            <w:color w:val="0000FF"/>
            <w:spacing w:val="-4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pacing w:val="-5"/>
            <w:sz w:val="24"/>
            <w:u w:val="single" w:color="0000FF"/>
          </w:rPr>
          <w:t>primary-care.xml&amp;content</w:t>
        </w:r>
        <w:proofErr w:type="spellEnd"/>
        <w:r>
          <w:rPr>
            <w:color w:val="0000FF"/>
            <w:spacing w:val="-5"/>
            <w:sz w:val="24"/>
            <w:u w:val="single" w:color="0000FF"/>
          </w:rPr>
          <w:t>=view-index</w:t>
        </w:r>
      </w:hyperlink>
    </w:p>
    <w:p w:rsidR="007A4763" w:rsidRDefault="007A4763">
      <w:pPr>
        <w:pStyle w:val="BodyText"/>
        <w:rPr>
          <w:sz w:val="20"/>
        </w:rPr>
      </w:pPr>
    </w:p>
    <w:p w:rsidR="007A4763" w:rsidRDefault="007A4763">
      <w:pPr>
        <w:pStyle w:val="BodyText"/>
        <w:spacing w:before="3"/>
        <w:rPr>
          <w:sz w:val="19"/>
        </w:rPr>
      </w:pPr>
    </w:p>
    <w:p w:rsidR="007A4763" w:rsidRDefault="006D585D">
      <w:pPr>
        <w:pStyle w:val="ListParagraph"/>
        <w:numPr>
          <w:ilvl w:val="0"/>
          <w:numId w:val="1"/>
        </w:numPr>
        <w:tabs>
          <w:tab w:val="left" w:pos="1055"/>
        </w:tabs>
        <w:spacing w:before="97" w:line="451" w:lineRule="auto"/>
        <w:ind w:right="5742" w:firstLine="0"/>
        <w:rPr>
          <w:sz w:val="24"/>
        </w:rPr>
      </w:pPr>
      <w:r>
        <w:rPr>
          <w:spacing w:val="-11"/>
          <w:sz w:val="24"/>
        </w:rPr>
        <w:t xml:space="preserve">Heavy </w:t>
      </w:r>
      <w:r>
        <w:rPr>
          <w:spacing w:val="-7"/>
          <w:sz w:val="24"/>
        </w:rPr>
        <w:t xml:space="preserve">Menstrual </w:t>
      </w:r>
      <w:r>
        <w:rPr>
          <w:spacing w:val="-6"/>
          <w:sz w:val="24"/>
        </w:rPr>
        <w:t>Bleeding</w:t>
      </w:r>
      <w:hyperlink r:id="rId12"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pacing w:val="-5"/>
            <w:sz w:val="24"/>
            <w:u w:val="single" w:color="0000FF"/>
          </w:rPr>
          <w:t>https://www.nice.org.uk/guidance/ng88</w:t>
        </w:r>
      </w:hyperlink>
    </w:p>
    <w:p w:rsidR="007A4763" w:rsidRDefault="007A4763">
      <w:pPr>
        <w:pStyle w:val="BodyText"/>
        <w:rPr>
          <w:sz w:val="20"/>
        </w:rPr>
      </w:pPr>
    </w:p>
    <w:p w:rsidR="007A4763" w:rsidRDefault="007A4763">
      <w:pPr>
        <w:pStyle w:val="BodyText"/>
        <w:spacing w:before="10"/>
        <w:rPr>
          <w:sz w:val="23"/>
        </w:rPr>
      </w:pPr>
    </w:p>
    <w:p w:rsidR="007A4763" w:rsidRDefault="006D585D">
      <w:pPr>
        <w:pStyle w:val="ListParagraph"/>
        <w:numPr>
          <w:ilvl w:val="0"/>
          <w:numId w:val="1"/>
        </w:numPr>
        <w:tabs>
          <w:tab w:val="left" w:pos="1056"/>
        </w:tabs>
        <w:spacing w:line="451" w:lineRule="auto"/>
        <w:ind w:right="863" w:firstLine="0"/>
        <w:rPr>
          <w:sz w:val="24"/>
        </w:rPr>
      </w:pPr>
      <w:r>
        <w:rPr>
          <w:spacing w:val="-11"/>
          <w:sz w:val="24"/>
        </w:rPr>
        <w:t xml:space="preserve">HHFT </w:t>
      </w:r>
      <w:r>
        <w:rPr>
          <w:spacing w:val="-6"/>
          <w:sz w:val="24"/>
        </w:rPr>
        <w:t xml:space="preserve">Gynaecology </w:t>
      </w:r>
      <w:r>
        <w:rPr>
          <w:sz w:val="24"/>
        </w:rPr>
        <w:t xml:space="preserve">referral </w:t>
      </w:r>
      <w:r>
        <w:rPr>
          <w:spacing w:val="-4"/>
          <w:sz w:val="24"/>
        </w:rPr>
        <w:t>guidance</w:t>
      </w:r>
      <w:hyperlink r:id="rId13"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pacing w:val="-5"/>
            <w:sz w:val="24"/>
            <w:u w:val="single" w:color="0000FF"/>
          </w:rPr>
          <w:t>http://www.hampshirehospitals.nhs.uk/media/295023/gynae_guidelines_aug2014.pdf</w:t>
        </w:r>
      </w:hyperlink>
    </w:p>
    <w:sectPr w:rsidR="007A4763">
      <w:pgSz w:w="11910" w:h="16840"/>
      <w:pgMar w:top="13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0F66"/>
    <w:multiLevelType w:val="hybridMultilevel"/>
    <w:tmpl w:val="C2E8F74E"/>
    <w:lvl w:ilvl="0" w:tplc="01CC5286">
      <w:start w:val="1"/>
      <w:numFmt w:val="decimal"/>
      <w:lvlText w:val="%1."/>
      <w:lvlJc w:val="left"/>
      <w:pPr>
        <w:ind w:left="781" w:hanging="274"/>
        <w:jc w:val="left"/>
      </w:pPr>
      <w:rPr>
        <w:rFonts w:hint="default"/>
        <w:b/>
        <w:bCs/>
        <w:spacing w:val="-7"/>
        <w:w w:val="101"/>
        <w:lang w:val="en-GB" w:eastAsia="en-GB" w:bidi="en-GB"/>
      </w:rPr>
    </w:lvl>
    <w:lvl w:ilvl="1" w:tplc="47FE4626">
      <w:numFmt w:val="bullet"/>
      <w:lvlText w:val="•"/>
      <w:lvlJc w:val="left"/>
      <w:pPr>
        <w:ind w:left="1760" w:hanging="274"/>
      </w:pPr>
      <w:rPr>
        <w:rFonts w:hint="default"/>
        <w:lang w:val="en-GB" w:eastAsia="en-GB" w:bidi="en-GB"/>
      </w:rPr>
    </w:lvl>
    <w:lvl w:ilvl="2" w:tplc="B1ACBDA0">
      <w:numFmt w:val="bullet"/>
      <w:lvlText w:val="•"/>
      <w:lvlJc w:val="left"/>
      <w:pPr>
        <w:ind w:left="2741" w:hanging="274"/>
      </w:pPr>
      <w:rPr>
        <w:rFonts w:hint="default"/>
        <w:lang w:val="en-GB" w:eastAsia="en-GB" w:bidi="en-GB"/>
      </w:rPr>
    </w:lvl>
    <w:lvl w:ilvl="3" w:tplc="1E32A6F6">
      <w:numFmt w:val="bullet"/>
      <w:lvlText w:val="•"/>
      <w:lvlJc w:val="left"/>
      <w:pPr>
        <w:ind w:left="3722" w:hanging="274"/>
      </w:pPr>
      <w:rPr>
        <w:rFonts w:hint="default"/>
        <w:lang w:val="en-GB" w:eastAsia="en-GB" w:bidi="en-GB"/>
      </w:rPr>
    </w:lvl>
    <w:lvl w:ilvl="4" w:tplc="CA3883C4">
      <w:numFmt w:val="bullet"/>
      <w:lvlText w:val="•"/>
      <w:lvlJc w:val="left"/>
      <w:pPr>
        <w:ind w:left="4703" w:hanging="274"/>
      </w:pPr>
      <w:rPr>
        <w:rFonts w:hint="default"/>
        <w:lang w:val="en-GB" w:eastAsia="en-GB" w:bidi="en-GB"/>
      </w:rPr>
    </w:lvl>
    <w:lvl w:ilvl="5" w:tplc="8FEAA60E">
      <w:numFmt w:val="bullet"/>
      <w:lvlText w:val="•"/>
      <w:lvlJc w:val="left"/>
      <w:pPr>
        <w:ind w:left="5684" w:hanging="274"/>
      </w:pPr>
      <w:rPr>
        <w:rFonts w:hint="default"/>
        <w:lang w:val="en-GB" w:eastAsia="en-GB" w:bidi="en-GB"/>
      </w:rPr>
    </w:lvl>
    <w:lvl w:ilvl="6" w:tplc="063A5BF4">
      <w:numFmt w:val="bullet"/>
      <w:lvlText w:val="•"/>
      <w:lvlJc w:val="left"/>
      <w:pPr>
        <w:ind w:left="6665" w:hanging="274"/>
      </w:pPr>
      <w:rPr>
        <w:rFonts w:hint="default"/>
        <w:lang w:val="en-GB" w:eastAsia="en-GB" w:bidi="en-GB"/>
      </w:rPr>
    </w:lvl>
    <w:lvl w:ilvl="7" w:tplc="F38ABEE6">
      <w:numFmt w:val="bullet"/>
      <w:lvlText w:val="•"/>
      <w:lvlJc w:val="left"/>
      <w:pPr>
        <w:ind w:left="7646" w:hanging="274"/>
      </w:pPr>
      <w:rPr>
        <w:rFonts w:hint="default"/>
        <w:lang w:val="en-GB" w:eastAsia="en-GB" w:bidi="en-GB"/>
      </w:rPr>
    </w:lvl>
    <w:lvl w:ilvl="8" w:tplc="2B500C5C">
      <w:numFmt w:val="bullet"/>
      <w:lvlText w:val="•"/>
      <w:lvlJc w:val="left"/>
      <w:pPr>
        <w:ind w:left="8627" w:hanging="274"/>
      </w:pPr>
      <w:rPr>
        <w:rFonts w:hint="default"/>
        <w:lang w:val="en-GB" w:eastAsia="en-GB" w:bidi="en-GB"/>
      </w:rPr>
    </w:lvl>
  </w:abstractNum>
  <w:abstractNum w:abstractNumId="1">
    <w:nsid w:val="528F1207"/>
    <w:multiLevelType w:val="hybridMultilevel"/>
    <w:tmpl w:val="95265036"/>
    <w:lvl w:ilvl="0" w:tplc="98B02E16">
      <w:start w:val="1"/>
      <w:numFmt w:val="decimal"/>
      <w:lvlText w:val="%1."/>
      <w:lvlJc w:val="left"/>
      <w:pPr>
        <w:ind w:left="121" w:hanging="273"/>
        <w:jc w:val="left"/>
      </w:pPr>
      <w:rPr>
        <w:rFonts w:ascii="Arial" w:eastAsia="Arial" w:hAnsi="Arial" w:cs="Arial" w:hint="default"/>
        <w:spacing w:val="-7"/>
        <w:w w:val="101"/>
        <w:sz w:val="24"/>
        <w:szCs w:val="24"/>
        <w:lang w:val="en-GB" w:eastAsia="en-GB" w:bidi="en-GB"/>
      </w:rPr>
    </w:lvl>
    <w:lvl w:ilvl="1" w:tplc="7C5650C8">
      <w:numFmt w:val="bullet"/>
      <w:lvlText w:val="•"/>
      <w:lvlJc w:val="left"/>
      <w:pPr>
        <w:ind w:left="629" w:hanging="273"/>
      </w:pPr>
      <w:rPr>
        <w:rFonts w:hint="default"/>
        <w:lang w:val="en-GB" w:eastAsia="en-GB" w:bidi="en-GB"/>
      </w:rPr>
    </w:lvl>
    <w:lvl w:ilvl="2" w:tplc="9094F616">
      <w:numFmt w:val="bullet"/>
      <w:lvlText w:val="•"/>
      <w:lvlJc w:val="left"/>
      <w:pPr>
        <w:ind w:left="1139" w:hanging="273"/>
      </w:pPr>
      <w:rPr>
        <w:rFonts w:hint="default"/>
        <w:lang w:val="en-GB" w:eastAsia="en-GB" w:bidi="en-GB"/>
      </w:rPr>
    </w:lvl>
    <w:lvl w:ilvl="3" w:tplc="55063C46">
      <w:numFmt w:val="bullet"/>
      <w:lvlText w:val="•"/>
      <w:lvlJc w:val="left"/>
      <w:pPr>
        <w:ind w:left="1649" w:hanging="273"/>
      </w:pPr>
      <w:rPr>
        <w:rFonts w:hint="default"/>
        <w:lang w:val="en-GB" w:eastAsia="en-GB" w:bidi="en-GB"/>
      </w:rPr>
    </w:lvl>
    <w:lvl w:ilvl="4" w:tplc="B7142FF2">
      <w:numFmt w:val="bullet"/>
      <w:lvlText w:val="•"/>
      <w:lvlJc w:val="left"/>
      <w:pPr>
        <w:ind w:left="2159" w:hanging="273"/>
      </w:pPr>
      <w:rPr>
        <w:rFonts w:hint="default"/>
        <w:lang w:val="en-GB" w:eastAsia="en-GB" w:bidi="en-GB"/>
      </w:rPr>
    </w:lvl>
    <w:lvl w:ilvl="5" w:tplc="B688FC7E">
      <w:numFmt w:val="bullet"/>
      <w:lvlText w:val="•"/>
      <w:lvlJc w:val="left"/>
      <w:pPr>
        <w:ind w:left="2669" w:hanging="273"/>
      </w:pPr>
      <w:rPr>
        <w:rFonts w:hint="default"/>
        <w:lang w:val="en-GB" w:eastAsia="en-GB" w:bidi="en-GB"/>
      </w:rPr>
    </w:lvl>
    <w:lvl w:ilvl="6" w:tplc="1342117A">
      <w:numFmt w:val="bullet"/>
      <w:lvlText w:val="•"/>
      <w:lvlJc w:val="left"/>
      <w:pPr>
        <w:ind w:left="3178" w:hanging="273"/>
      </w:pPr>
      <w:rPr>
        <w:rFonts w:hint="default"/>
        <w:lang w:val="en-GB" w:eastAsia="en-GB" w:bidi="en-GB"/>
      </w:rPr>
    </w:lvl>
    <w:lvl w:ilvl="7" w:tplc="ECF4E482">
      <w:numFmt w:val="bullet"/>
      <w:lvlText w:val="•"/>
      <w:lvlJc w:val="left"/>
      <w:pPr>
        <w:ind w:left="3688" w:hanging="273"/>
      </w:pPr>
      <w:rPr>
        <w:rFonts w:hint="default"/>
        <w:lang w:val="en-GB" w:eastAsia="en-GB" w:bidi="en-GB"/>
      </w:rPr>
    </w:lvl>
    <w:lvl w:ilvl="8" w:tplc="EFF08EF0">
      <w:numFmt w:val="bullet"/>
      <w:lvlText w:val="•"/>
      <w:lvlJc w:val="left"/>
      <w:pPr>
        <w:ind w:left="4198" w:hanging="273"/>
      </w:pPr>
      <w:rPr>
        <w:rFonts w:hint="default"/>
        <w:lang w:val="en-GB" w:eastAsia="en-GB" w:bidi="en-GB"/>
      </w:rPr>
    </w:lvl>
  </w:abstractNum>
  <w:abstractNum w:abstractNumId="2">
    <w:nsid w:val="7D573A7B"/>
    <w:multiLevelType w:val="hybridMultilevel"/>
    <w:tmpl w:val="60D8AEEE"/>
    <w:lvl w:ilvl="0" w:tplc="842CEF1E">
      <w:numFmt w:val="bullet"/>
      <w:lvlText w:val="-"/>
      <w:lvlJc w:val="left"/>
      <w:pPr>
        <w:ind w:left="265" w:hanging="144"/>
      </w:pPr>
      <w:rPr>
        <w:rFonts w:ascii="Arial" w:eastAsia="Arial" w:hAnsi="Arial" w:cs="Arial" w:hint="default"/>
        <w:w w:val="101"/>
        <w:sz w:val="24"/>
        <w:szCs w:val="24"/>
        <w:lang w:val="en-GB" w:eastAsia="en-GB" w:bidi="en-GB"/>
      </w:rPr>
    </w:lvl>
    <w:lvl w:ilvl="1" w:tplc="05782B3A">
      <w:numFmt w:val="bullet"/>
      <w:lvlText w:val="•"/>
      <w:lvlJc w:val="left"/>
      <w:pPr>
        <w:ind w:left="755" w:hanging="144"/>
      </w:pPr>
      <w:rPr>
        <w:rFonts w:hint="default"/>
        <w:lang w:val="en-GB" w:eastAsia="en-GB" w:bidi="en-GB"/>
      </w:rPr>
    </w:lvl>
    <w:lvl w:ilvl="2" w:tplc="BD248A30">
      <w:numFmt w:val="bullet"/>
      <w:lvlText w:val="•"/>
      <w:lvlJc w:val="left"/>
      <w:pPr>
        <w:ind w:left="1251" w:hanging="144"/>
      </w:pPr>
      <w:rPr>
        <w:rFonts w:hint="default"/>
        <w:lang w:val="en-GB" w:eastAsia="en-GB" w:bidi="en-GB"/>
      </w:rPr>
    </w:lvl>
    <w:lvl w:ilvl="3" w:tplc="BB62327C">
      <w:numFmt w:val="bullet"/>
      <w:lvlText w:val="•"/>
      <w:lvlJc w:val="left"/>
      <w:pPr>
        <w:ind w:left="1747" w:hanging="144"/>
      </w:pPr>
      <w:rPr>
        <w:rFonts w:hint="default"/>
        <w:lang w:val="en-GB" w:eastAsia="en-GB" w:bidi="en-GB"/>
      </w:rPr>
    </w:lvl>
    <w:lvl w:ilvl="4" w:tplc="4D9A881C">
      <w:numFmt w:val="bullet"/>
      <w:lvlText w:val="•"/>
      <w:lvlJc w:val="left"/>
      <w:pPr>
        <w:ind w:left="2243" w:hanging="144"/>
      </w:pPr>
      <w:rPr>
        <w:rFonts w:hint="default"/>
        <w:lang w:val="en-GB" w:eastAsia="en-GB" w:bidi="en-GB"/>
      </w:rPr>
    </w:lvl>
    <w:lvl w:ilvl="5" w:tplc="FD8C9A20">
      <w:numFmt w:val="bullet"/>
      <w:lvlText w:val="•"/>
      <w:lvlJc w:val="left"/>
      <w:pPr>
        <w:ind w:left="2739" w:hanging="144"/>
      </w:pPr>
      <w:rPr>
        <w:rFonts w:hint="default"/>
        <w:lang w:val="en-GB" w:eastAsia="en-GB" w:bidi="en-GB"/>
      </w:rPr>
    </w:lvl>
    <w:lvl w:ilvl="6" w:tplc="6D76A7EA">
      <w:numFmt w:val="bullet"/>
      <w:lvlText w:val="•"/>
      <w:lvlJc w:val="left"/>
      <w:pPr>
        <w:ind w:left="3234" w:hanging="144"/>
      </w:pPr>
      <w:rPr>
        <w:rFonts w:hint="default"/>
        <w:lang w:val="en-GB" w:eastAsia="en-GB" w:bidi="en-GB"/>
      </w:rPr>
    </w:lvl>
    <w:lvl w:ilvl="7" w:tplc="2898B6AA">
      <w:numFmt w:val="bullet"/>
      <w:lvlText w:val="•"/>
      <w:lvlJc w:val="left"/>
      <w:pPr>
        <w:ind w:left="3730" w:hanging="144"/>
      </w:pPr>
      <w:rPr>
        <w:rFonts w:hint="default"/>
        <w:lang w:val="en-GB" w:eastAsia="en-GB" w:bidi="en-GB"/>
      </w:rPr>
    </w:lvl>
    <w:lvl w:ilvl="8" w:tplc="4D508ADA">
      <w:numFmt w:val="bullet"/>
      <w:lvlText w:val="•"/>
      <w:lvlJc w:val="left"/>
      <w:pPr>
        <w:ind w:left="4226" w:hanging="144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3"/>
    <w:rsid w:val="00551F2E"/>
    <w:rsid w:val="006D585D"/>
    <w:rsid w:val="007A4763"/>
    <w:rsid w:val="00896456"/>
    <w:rsid w:val="008E7667"/>
    <w:rsid w:val="00954559"/>
    <w:rsid w:val="00B01E5F"/>
    <w:rsid w:val="00BB7A1B"/>
    <w:rsid w:val="00D722A6"/>
    <w:rsid w:val="00E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8"/>
      <w:ind w:left="7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E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7A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E7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B01E5F"/>
    <w:rPr>
      <w:rFonts w:asciiTheme="majorHAnsi" w:eastAsiaTheme="majorEastAsia" w:hAnsiTheme="majorHAnsi" w:cstheme="majorBidi"/>
      <w:b/>
      <w:bCs/>
      <w:color w:val="4F81BD" w:themeColor="accent1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EC5867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A1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7A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B7A1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B7A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7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B"/>
    <w:rPr>
      <w:rFonts w:ascii="Tahoma" w:eastAsia="Arial" w:hAnsi="Tahoma" w:cs="Tahoma"/>
      <w:sz w:val="16"/>
      <w:szCs w:val="16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BB7A1B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8"/>
      <w:ind w:left="7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E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7A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E7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B01E5F"/>
    <w:rPr>
      <w:rFonts w:asciiTheme="majorHAnsi" w:eastAsiaTheme="majorEastAsia" w:hAnsiTheme="majorHAnsi" w:cstheme="majorBidi"/>
      <w:b/>
      <w:bCs/>
      <w:color w:val="4F81BD" w:themeColor="accent1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EC5867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A1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7A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B7A1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B7A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7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B"/>
    <w:rPr>
      <w:rFonts w:ascii="Tahoma" w:eastAsia="Arial" w:hAnsi="Tahoma" w:cs="Tahoma"/>
      <w:sz w:val="16"/>
      <w:szCs w:val="16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BB7A1B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54/chapter/1-guidance" TargetMode="External"/><Relationship Id="rId13" Type="http://schemas.openxmlformats.org/officeDocument/2006/relationships/hyperlink" Target="http://www.hampshirehospitals.nhs.uk/media/295023/gynae_guidelines_aug201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ce.org.uk/guidance" TargetMode="External"/><Relationship Id="rId12" Type="http://schemas.openxmlformats.org/officeDocument/2006/relationships/hyperlink" Target="https://www.nice.org.uk/guidance/ng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thways.nice.org.uk/pathways/ovarian-cancer%23path%3Dview%3A/pathways/ovarian-cancer/ovarian-cancer-detection-in-primary-care.xml%26content%3Dview-inde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thways.nice.org.uk/pathways/ovarian-cancer%23path%3Dview%3A/pathways/ovarian-cancer/ovarian-cancer-detection-in-primary-care.xml%26content%3Dview-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thways.nice.org.uk/pathways/ovarian-cancer%23path%3Dview%3A/pathways/ovarian-cancer/ovarian-cancer-detection-in-primary-care.xml%26content%3Dview-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FE36-A986-4F01-A702-4E3740A6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Hospitals NHS Foundation Trust</vt:lpstr>
    </vt:vector>
  </TitlesOfParts>
  <Company>NHS South West Commissioning Support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Hospitals NHS Foundation Trust</dc:title>
  <dc:creator>Kidd Sarah- Radiologist</dc:creator>
  <cp:lastModifiedBy>Wartnaby Craig</cp:lastModifiedBy>
  <cp:revision>1</cp:revision>
  <dcterms:created xsi:type="dcterms:W3CDTF">2018-12-21T09:36:00Z</dcterms:created>
  <dcterms:modified xsi:type="dcterms:W3CDTF">2018-12-21T09:36:00Z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